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0AB4A3" w14:textId="40D5108E" w:rsidR="00B87607" w:rsidRPr="00B87607" w:rsidRDefault="00432802" w:rsidP="00432802">
      <w:pPr>
        <w:pStyle w:val="Titre1"/>
        <w:rPr>
          <w:color w:val="4472C4" w:themeColor="accent1"/>
        </w:rPr>
      </w:pPr>
      <w:proofErr w:type="spellStart"/>
      <w:r w:rsidRPr="00432802">
        <w:rPr>
          <w:color w:val="4472C4" w:themeColor="accent1"/>
        </w:rPr>
        <w:t>Ta'ata</w:t>
      </w:r>
      <w:proofErr w:type="spellEnd"/>
      <w:r w:rsidR="00BB651C" w:rsidRPr="00B87607">
        <w:rPr>
          <w:color w:val="4472C4" w:themeColor="accent1"/>
        </w:rPr>
        <w:t>,</w:t>
      </w:r>
      <w:r>
        <w:rPr>
          <w:color w:val="4472C4" w:themeColor="accent1"/>
        </w:rPr>
        <w:t xml:space="preserve"> thon</w:t>
      </w:r>
      <w:r w:rsidR="00BB651C" w:rsidRPr="00B87607">
        <w:rPr>
          <w:color w:val="4472C4" w:themeColor="accent1"/>
        </w:rPr>
        <w:t xml:space="preserve"> </w:t>
      </w:r>
      <w:r w:rsidR="0008015C">
        <w:rPr>
          <w:color w:val="4472C4" w:themeColor="accent1"/>
        </w:rPr>
        <w:t xml:space="preserve">et béton </w:t>
      </w:r>
      <w:r w:rsidR="00B5236A">
        <w:rPr>
          <w:color w:val="4472C4" w:themeColor="accent1"/>
        </w:rPr>
        <w:t>: penser les essais nucléaires par les</w:t>
      </w:r>
      <w:r w:rsidR="00B87607">
        <w:rPr>
          <w:color w:val="4472C4" w:themeColor="accent1"/>
        </w:rPr>
        <w:t xml:space="preserve"> </w:t>
      </w:r>
      <w:r w:rsidR="00F9275D">
        <w:rPr>
          <w:color w:val="4472C4" w:themeColor="accent1"/>
        </w:rPr>
        <w:t>circulations</w:t>
      </w:r>
    </w:p>
    <w:p w14:paraId="48C0A61C" w14:textId="786CDF6D" w:rsidR="00FA09CD" w:rsidRDefault="00B87607" w:rsidP="00EF1BBE">
      <w:pPr>
        <w:pStyle w:val="Titre2"/>
      </w:pPr>
      <w:r>
        <w:t xml:space="preserve"> </w:t>
      </w:r>
      <w:r w:rsidR="00540D49">
        <w:t>C</w:t>
      </w:r>
      <w:r>
        <w:t xml:space="preserve">olloque de </w:t>
      </w:r>
      <w:proofErr w:type="spellStart"/>
      <w:r w:rsidR="00F9275D">
        <w:t>Pape</w:t>
      </w:r>
      <w:r w:rsidR="004B675D">
        <w:t>’</w:t>
      </w:r>
      <w:r w:rsidR="00F9275D">
        <w:t>ete</w:t>
      </w:r>
      <w:proofErr w:type="spellEnd"/>
      <w:r w:rsidR="00F9275D">
        <w:t xml:space="preserve">, </w:t>
      </w:r>
      <w:r w:rsidR="00540D49">
        <w:t xml:space="preserve">8-10 </w:t>
      </w:r>
      <w:r w:rsidR="00F9275D">
        <w:t>octobre 2025</w:t>
      </w:r>
    </w:p>
    <w:p w14:paraId="21B1524C" w14:textId="6E83E976" w:rsidR="00BB651C" w:rsidRDefault="00432802" w:rsidP="00432802">
      <w:pPr>
        <w:pStyle w:val="Titre3"/>
      </w:pPr>
      <w:r>
        <w:t>Appel à communication</w:t>
      </w:r>
      <w:r w:rsidR="006F7FD8">
        <w:t>s</w:t>
      </w:r>
    </w:p>
    <w:p w14:paraId="7ECB2D7D" w14:textId="77777777" w:rsidR="00432802" w:rsidRPr="00432802" w:rsidRDefault="00432802" w:rsidP="00432802"/>
    <w:p w14:paraId="626D5142" w14:textId="0D76D9F9" w:rsidR="000D5F61" w:rsidRDefault="000D5F61" w:rsidP="000D5F61">
      <w:pPr>
        <w:spacing w:after="0"/>
        <w:ind w:firstLine="708"/>
      </w:pPr>
      <w:r>
        <w:t xml:space="preserve">L’objectif de ce colloque est de penser le Centre d’Expérimentation du Pacifique (CEP) et </w:t>
      </w:r>
      <w:r w:rsidRPr="003A072F">
        <w:t>les autres sites d’essais nucléaires dans le Pacifique</w:t>
      </w:r>
      <w:r>
        <w:t xml:space="preserve"> « par » les circulations. Il ne s’agit pas de décrire les échanges liés aux sites d’essais depuis deux pôles, dans le cas français, la métropole et l’entité</w:t>
      </w:r>
      <w:r w:rsidR="00C63914">
        <w:t xml:space="preserve"> </w:t>
      </w:r>
      <w:r w:rsidR="00C63914">
        <w:t>« Polynésie française »</w:t>
      </w:r>
      <w:r>
        <w:t xml:space="preserve"> instituée par le processus de colonisation</w:t>
      </w:r>
      <w:r w:rsidR="00C63914">
        <w:t>,</w:t>
      </w:r>
      <w:r>
        <w:t xml:space="preserve"> mais de sortir du modèle diffusionniste qui pense les transferts linéaires et unidirectionnels de l’Europe au Pacifique, pour tenir compte de jeux d’échelles et de circulations plus complexes et plus riches, intégrant des effets retours et des allers et venues.</w:t>
      </w:r>
    </w:p>
    <w:p w14:paraId="26169C99" w14:textId="77777777" w:rsidR="00D46A36" w:rsidRDefault="00D46A36" w:rsidP="00D46A36">
      <w:pPr>
        <w:spacing w:after="0"/>
        <w:ind w:firstLine="360"/>
      </w:pPr>
      <w:r>
        <w:t xml:space="preserve">Cette démarche, qui s’inscrit à la suite des premiers travaux du programme « Histoire et mémoires du CEP » puis de la création du SOSI « Observatoire des Héritages du CEP » attaché à la MSH du Pacifique, vise à nuancer une approche </w:t>
      </w:r>
      <w:proofErr w:type="spellStart"/>
      <w:r>
        <w:t>exceptionnaliste</w:t>
      </w:r>
      <w:proofErr w:type="spellEnd"/>
      <w:r>
        <w:t xml:space="preserve"> du nucléaire, qui en fait une clef d’explication globale mais imprécise, à laquelle sont rapportés indistinctement tous les phénomènes historiques qui ont affecté la Polynésie au temps du CEP</w:t>
      </w:r>
      <w:r>
        <w:rPr>
          <w:rStyle w:val="Appelnotedebasdep"/>
        </w:rPr>
        <w:footnoteReference w:id="1"/>
      </w:r>
      <w:r>
        <w:t>. Nous proposons quatre entrées pour étudier ces circulations, mêlant éléments matériels et immatériels, institutionnels et naturels :</w:t>
      </w:r>
    </w:p>
    <w:p w14:paraId="3AB44DAC" w14:textId="42AFE9D6" w:rsidR="00540D49" w:rsidRDefault="00540D49" w:rsidP="00540D49">
      <w:pPr>
        <w:spacing w:after="0"/>
        <w:ind w:firstLine="360"/>
      </w:pPr>
      <w:r>
        <w:t>-</w:t>
      </w:r>
      <w:r w:rsidR="00D95F59">
        <w:t xml:space="preserve"> </w:t>
      </w:r>
      <w:r w:rsidR="006906D5">
        <w:t xml:space="preserve">les systèmes techniques et productifs ; </w:t>
      </w:r>
    </w:p>
    <w:p w14:paraId="41553A9A" w14:textId="77777777" w:rsidR="00540D49" w:rsidRDefault="00540D49" w:rsidP="00540D49">
      <w:pPr>
        <w:spacing w:after="0"/>
        <w:ind w:firstLine="360"/>
      </w:pPr>
      <w:r>
        <w:t xml:space="preserve">- </w:t>
      </w:r>
      <w:r w:rsidR="00D95F59">
        <w:t>la famille</w:t>
      </w:r>
      <w:r w:rsidR="006906D5">
        <w:t> ;</w:t>
      </w:r>
      <w:r w:rsidR="00D95F59">
        <w:t xml:space="preserve"> </w:t>
      </w:r>
    </w:p>
    <w:p w14:paraId="27F240F1" w14:textId="77777777" w:rsidR="00540D49" w:rsidRDefault="00540D49" w:rsidP="00540D49">
      <w:pPr>
        <w:spacing w:after="0"/>
        <w:ind w:firstLine="360"/>
      </w:pPr>
      <w:r>
        <w:t xml:space="preserve">- </w:t>
      </w:r>
      <w:r w:rsidR="00D95F59">
        <w:t>le vivant non humain</w:t>
      </w:r>
      <w:r w:rsidR="001606F3">
        <w:t xml:space="preserve"> ; </w:t>
      </w:r>
    </w:p>
    <w:p w14:paraId="0001EA0C" w14:textId="0BEB564A" w:rsidR="00540D49" w:rsidRDefault="00540D49" w:rsidP="00540D49">
      <w:pPr>
        <w:spacing w:after="0"/>
        <w:ind w:firstLine="360"/>
      </w:pPr>
      <w:r>
        <w:t xml:space="preserve">- </w:t>
      </w:r>
      <w:r w:rsidR="001606F3">
        <w:t>les idées, savoirs et croyances.</w:t>
      </w:r>
      <w:r w:rsidR="00B72401">
        <w:t xml:space="preserve"> </w:t>
      </w:r>
    </w:p>
    <w:p w14:paraId="17A1DF83" w14:textId="77777777" w:rsidR="00540D49" w:rsidRDefault="00540D49" w:rsidP="00540D49">
      <w:pPr>
        <w:spacing w:after="0"/>
        <w:ind w:firstLine="360"/>
      </w:pPr>
    </w:p>
    <w:p w14:paraId="1270D57E" w14:textId="6112D861" w:rsidR="00C773B3" w:rsidRDefault="00B72401" w:rsidP="00540D49">
      <w:pPr>
        <w:spacing w:after="0"/>
        <w:ind w:firstLine="360"/>
      </w:pPr>
      <w:r>
        <w:t>Cette proposition n’évacue pas le cadre politique qui caractérise la scène de ces circulations, héritée de l’histoire coloniale</w:t>
      </w:r>
      <w:r w:rsidR="00960E07">
        <w:t xml:space="preserve"> et </w:t>
      </w:r>
      <w:r w:rsidR="00540D49">
        <w:t>que nous souhaitons</w:t>
      </w:r>
      <w:r w:rsidR="00960E07">
        <w:t xml:space="preserve"> prendre en compte dans une approche comparative des sites d’essais britanniques et étatsuniens dans le Pacifique.</w:t>
      </w:r>
    </w:p>
    <w:p w14:paraId="7E2B601B" w14:textId="77777777" w:rsidR="00540D49" w:rsidRDefault="00540D49" w:rsidP="00540D49">
      <w:pPr>
        <w:spacing w:after="0"/>
        <w:ind w:firstLine="360"/>
      </w:pPr>
    </w:p>
    <w:p w14:paraId="5C7F5924" w14:textId="77777777" w:rsidR="00024D7A" w:rsidRDefault="00024D7A" w:rsidP="00EF1BBE">
      <w:pPr>
        <w:pStyle w:val="Titre2"/>
      </w:pPr>
      <w:r>
        <w:t>Impérialisme, colonialisme</w:t>
      </w:r>
      <w:r w:rsidR="00EF1BBE">
        <w:t>, impérialisme nucléaire</w:t>
      </w:r>
    </w:p>
    <w:p w14:paraId="1C8B926C" w14:textId="77777777" w:rsidR="004C04BA" w:rsidRDefault="004C04BA" w:rsidP="004C04BA"/>
    <w:p w14:paraId="6519BBB5" w14:textId="77777777" w:rsidR="00540D49" w:rsidRDefault="007B6D53" w:rsidP="00540D49">
      <w:pPr>
        <w:spacing w:after="0"/>
        <w:ind w:firstLine="708"/>
      </w:pPr>
      <w:r>
        <w:t>Peut-on se satisfaire</w:t>
      </w:r>
      <w:r w:rsidR="00B72401">
        <w:t xml:space="preserve"> </w:t>
      </w:r>
      <w:r w:rsidR="00726586">
        <w:t>de la notion de « situation coloniale » forgée par Georges Balandier</w:t>
      </w:r>
      <w:r w:rsidR="00E72E61">
        <w:t xml:space="preserve"> en 195</w:t>
      </w:r>
      <w:r w:rsidR="00B72401">
        <w:t>1</w:t>
      </w:r>
      <w:r w:rsidR="00B72401" w:rsidRPr="00B72401">
        <w:t xml:space="preserve"> </w:t>
      </w:r>
      <w:r w:rsidR="00B72401">
        <w:t xml:space="preserve">pour qualifier les sociétés </w:t>
      </w:r>
      <w:r w:rsidR="00717A0E">
        <w:t>polynésiennes où se sont déroulés les essais</w:t>
      </w:r>
      <w:r w:rsidR="00726586">
        <w:rPr>
          <w:rStyle w:val="Appelnotedebasdep"/>
        </w:rPr>
        <w:footnoteReference w:id="2"/>
      </w:r>
      <w:r w:rsidR="00717A0E">
        <w:t> ?</w:t>
      </w:r>
      <w:r w:rsidR="00726586">
        <w:t xml:space="preserve"> </w:t>
      </w:r>
      <w:r w:rsidR="00700FA6">
        <w:t xml:space="preserve">Pour mémoire, il </w:t>
      </w:r>
      <w:r w:rsidR="00073F49">
        <w:t xml:space="preserve">la définit comme un système de domination d’une minorité </w:t>
      </w:r>
      <w:r w:rsidR="00960E07">
        <w:t xml:space="preserve">numérique </w:t>
      </w:r>
      <w:r w:rsidR="00073F49">
        <w:t>étrangère</w:t>
      </w:r>
      <w:r w:rsidR="00801736">
        <w:t xml:space="preserve"> sur une majorité autochtone</w:t>
      </w:r>
      <w:r w:rsidR="00073F49">
        <w:t xml:space="preserve">, </w:t>
      </w:r>
      <w:r w:rsidR="00717A0E">
        <w:t xml:space="preserve">domination </w:t>
      </w:r>
      <w:r w:rsidR="00801736">
        <w:t>qu’elle légitime</w:t>
      </w:r>
      <w:r w:rsidR="00073F49">
        <w:t xml:space="preserve"> par une </w:t>
      </w:r>
      <w:r w:rsidR="00801736">
        <w:t xml:space="preserve">prétendue </w:t>
      </w:r>
      <w:r w:rsidR="00073F49">
        <w:t>supériorité raciale</w:t>
      </w:r>
      <w:r w:rsidR="00663FFE">
        <w:t>, religieuse</w:t>
      </w:r>
      <w:r w:rsidR="00073F49">
        <w:t xml:space="preserve"> et culturelle</w:t>
      </w:r>
      <w:r w:rsidR="00663FFE">
        <w:t>, imposant sa « civilisation à machinisme »</w:t>
      </w:r>
      <w:r w:rsidR="00960E07">
        <w:t xml:space="preserve"> et une domination technologique</w:t>
      </w:r>
      <w:r w:rsidR="00801736">
        <w:t>. La société colonisée, selon Balandier,</w:t>
      </w:r>
      <w:r w:rsidR="00766DD3">
        <w:t xml:space="preserve"> subit son</w:t>
      </w:r>
      <w:r w:rsidR="00801736">
        <w:t xml:space="preserve"> </w:t>
      </w:r>
      <w:r w:rsidR="00766DD3">
        <w:t>instrumentalisation par la force et</w:t>
      </w:r>
      <w:r w:rsidR="00960E07">
        <w:t>/</w:t>
      </w:r>
      <w:r w:rsidR="00766DD3">
        <w:t>ou « un système de pseudo-justifications ».</w:t>
      </w:r>
      <w:r w:rsidR="00FE0557">
        <w:t xml:space="preserve"> </w:t>
      </w:r>
    </w:p>
    <w:p w14:paraId="1F31C2DA" w14:textId="0D709DA4" w:rsidR="00960E07" w:rsidRDefault="004F1E2F" w:rsidP="00540D49">
      <w:pPr>
        <w:spacing w:after="0"/>
        <w:ind w:firstLine="708"/>
      </w:pPr>
      <w:r>
        <w:lastRenderedPageBreak/>
        <w:t>La notion de « société coloniale » est c</w:t>
      </w:r>
      <w:r w:rsidR="00726586">
        <w:t xml:space="preserve">ommode pour penser ce qu’il advient d’une société sortie </w:t>
      </w:r>
      <w:r w:rsidR="00540D49">
        <w:t>de l’asymétrie juridique du régime colonial d’un</w:t>
      </w:r>
      <w:r w:rsidR="00726586">
        <w:t xml:space="preserve"> point de vue institutionnel</w:t>
      </w:r>
      <w:r w:rsidR="00540D49">
        <w:t xml:space="preserve"> : </w:t>
      </w:r>
      <w:r>
        <w:t>le</w:t>
      </w:r>
      <w:r w:rsidR="00221242">
        <w:t xml:space="preserve"> concept</w:t>
      </w:r>
      <w:r w:rsidR="00540D49">
        <w:t>,</w:t>
      </w:r>
      <w:r w:rsidR="00221242">
        <w:t xml:space="preserve"> </w:t>
      </w:r>
      <w:r>
        <w:t>chez Balandier</w:t>
      </w:r>
      <w:r w:rsidR="00540D49">
        <w:t>,</w:t>
      </w:r>
      <w:r>
        <w:t xml:space="preserve"> s’applique, avant la décolonisation institutionnelle, à </w:t>
      </w:r>
      <w:r w:rsidR="00E67CCA">
        <w:t>des ensemble</w:t>
      </w:r>
      <w:r w:rsidR="00E12827">
        <w:t>s</w:t>
      </w:r>
      <w:r w:rsidR="00E67CCA">
        <w:t xml:space="preserve"> politiquement homogènes tel que les sud des États-Unis</w:t>
      </w:r>
      <w:r w:rsidR="00FE0557">
        <w:rPr>
          <w:rStyle w:val="Appelnotedebasdep"/>
        </w:rPr>
        <w:footnoteReference w:id="3"/>
      </w:r>
      <w:r w:rsidR="00E67CCA">
        <w:t>. Cet</w:t>
      </w:r>
      <w:r w:rsidR="003C564F">
        <w:t xml:space="preserve"> emploi </w:t>
      </w:r>
      <w:r w:rsidR="00E67CCA">
        <w:t>prépare l’usage de</w:t>
      </w:r>
      <w:r w:rsidR="00865F52">
        <w:t xml:space="preserve"> la notion de</w:t>
      </w:r>
      <w:r w:rsidR="00E67CCA">
        <w:t xml:space="preserve"> « société coloniale</w:t>
      </w:r>
      <w:r w:rsidR="00865F52">
        <w:t xml:space="preserve"> </w:t>
      </w:r>
      <w:r w:rsidR="00E67CCA">
        <w:t xml:space="preserve">» pour des territoires ultra-marins formellement décolonisés </w:t>
      </w:r>
      <w:r w:rsidR="00865F52">
        <w:t xml:space="preserve">et permet </w:t>
      </w:r>
      <w:r w:rsidR="00E12827">
        <w:t>de trouver une sorte de compromis pour</w:t>
      </w:r>
      <w:r w:rsidR="00E67CCA">
        <w:t xml:space="preserve"> décrire des sociétés où se maintient ce que Romain Bertrand et </w:t>
      </w:r>
      <w:r w:rsidR="00865F52">
        <w:t>Jean-François Bayart ont appelé le « legs colonial ».</w:t>
      </w:r>
      <w:r w:rsidR="00E12827">
        <w:t xml:space="preserve"> Mais il s’agit au fond d’une sorte </w:t>
      </w:r>
      <w:r w:rsidR="00E12827" w:rsidRPr="00540D49">
        <w:rPr>
          <w:i/>
          <w:iCs/>
        </w:rPr>
        <w:t>d’appellation provisoire</w:t>
      </w:r>
      <w:r w:rsidR="00461F81">
        <w:rPr>
          <w:rStyle w:val="Appelnotedebasdep"/>
        </w:rPr>
        <w:footnoteReference w:id="4"/>
      </w:r>
      <w:r w:rsidR="00E12827">
        <w:t xml:space="preserve">, qui retarde la discussion </w:t>
      </w:r>
      <w:r w:rsidR="003C564F">
        <w:t xml:space="preserve">sur ce qu’il reste de cet héritage colonial dans </w:t>
      </w:r>
      <w:r w:rsidR="00540D49">
        <w:t>le Pacifique</w:t>
      </w:r>
      <w:r w:rsidR="003C564F">
        <w:t xml:space="preserve"> où les États-Unis, le Royaume-Uni et la France décident </w:t>
      </w:r>
      <w:r w:rsidR="00461F81">
        <w:t>de créer des polygones de tir, prolongeant</w:t>
      </w:r>
      <w:r w:rsidR="00960E07">
        <w:t>, reproduisant</w:t>
      </w:r>
      <w:r w:rsidR="00461F81">
        <w:t xml:space="preserve"> ou réactivant les asymétries de la colonisation. </w:t>
      </w:r>
      <w:r w:rsidR="00960E07">
        <w:t xml:space="preserve">Ce qui se maintient, ce qui reste : on entend par là les déterminations durables du moment colonial, dans toutes les dimensions de la vie sociale, par-delà son épuisement institutionnel qui en marque le terme sur le plan de la simple </w:t>
      </w:r>
      <w:proofErr w:type="spellStart"/>
      <w:r w:rsidR="00960E07">
        <w:rPr>
          <w:rStyle w:val="showresume"/>
        </w:rPr>
        <w:t>chrononymie</w:t>
      </w:r>
      <w:proofErr w:type="spellEnd"/>
      <w:r w:rsidR="00960E07">
        <w:rPr>
          <w:rStyle w:val="showresume"/>
        </w:rPr>
        <w:t xml:space="preserve"> politique.</w:t>
      </w:r>
    </w:p>
    <w:p w14:paraId="317CF2A1" w14:textId="7CAFFBB1" w:rsidR="00726586" w:rsidRDefault="00540D49" w:rsidP="00B72401">
      <w:pPr>
        <w:ind w:firstLine="708"/>
      </w:pPr>
      <w:r>
        <w:t>C</w:t>
      </w:r>
      <w:r w:rsidR="00943C56">
        <w:t xml:space="preserve">ette difficulté à nommer la « situation coloniale » tient à l’histoire des empires et/ou des impérialisme français, britannique et </w:t>
      </w:r>
      <w:r w:rsidR="004371C7">
        <w:t>étatsunien</w:t>
      </w:r>
      <w:r w:rsidR="00943C56">
        <w:t xml:space="preserve"> dans la région, </w:t>
      </w:r>
      <w:r>
        <w:t>caractérisée</w:t>
      </w:r>
      <w:r w:rsidR="00943C56">
        <w:t xml:space="preserve"> </w:t>
      </w:r>
      <w:r>
        <w:t>par le</w:t>
      </w:r>
      <w:r w:rsidR="00943C56">
        <w:t xml:space="preserve"> déni</w:t>
      </w:r>
      <w:r>
        <w:t xml:space="preserve"> de puissances qui ne se pensent pas comme telles en colonisant des territoires polynésiens</w:t>
      </w:r>
      <w:r w:rsidR="00943C56">
        <w:t>.</w:t>
      </w:r>
    </w:p>
    <w:p w14:paraId="2174E993" w14:textId="77777777" w:rsidR="00280FBD" w:rsidRDefault="00280FBD" w:rsidP="00B72401">
      <w:pPr>
        <w:ind w:firstLine="708"/>
      </w:pPr>
    </w:p>
    <w:p w14:paraId="1D317323" w14:textId="77777777" w:rsidR="00A1611F" w:rsidRDefault="007B6D53" w:rsidP="00280FBD">
      <w:pPr>
        <w:pStyle w:val="Titre3"/>
      </w:pPr>
      <w:r>
        <w:t>D</w:t>
      </w:r>
      <w:r w:rsidR="00DA0396">
        <w:t>éni impérial et impérialisme nucléaire</w:t>
      </w:r>
    </w:p>
    <w:p w14:paraId="0D1ACB2D" w14:textId="77777777" w:rsidR="00280FBD" w:rsidRDefault="00280FBD" w:rsidP="00280FBD"/>
    <w:p w14:paraId="57F13F6F" w14:textId="704816E8" w:rsidR="00DB00A0" w:rsidRPr="003707BA" w:rsidRDefault="00DB00A0" w:rsidP="00FF7267">
      <w:pPr>
        <w:spacing w:after="0"/>
        <w:ind w:firstLine="708"/>
      </w:pPr>
      <w:r>
        <w:t>Quel</w:t>
      </w:r>
      <w:r w:rsidR="003A072F">
        <w:t xml:space="preserve">le </w:t>
      </w:r>
      <w:r>
        <w:t xml:space="preserve">que soit la définition minimale qu’on </w:t>
      </w:r>
      <w:r w:rsidR="00540D49">
        <w:t>adopte</w:t>
      </w:r>
      <w:r>
        <w:t xml:space="preserve"> </w:t>
      </w:r>
      <w:r w:rsidR="00540D49">
        <w:t>pour décrire l’</w:t>
      </w:r>
      <w:r>
        <w:t xml:space="preserve">impérialisme – tel le plus petit dénominateur commun </w:t>
      </w:r>
      <w:r w:rsidR="00540D49">
        <w:t>retenu</w:t>
      </w:r>
      <w:r>
        <w:t xml:space="preserve"> par </w:t>
      </w:r>
      <w:r w:rsidR="003312D2">
        <w:t>Burbank et</w:t>
      </w:r>
      <w:r>
        <w:t xml:space="preserve"> Cooper, « le gouvernement différencié de la différence </w:t>
      </w:r>
      <w:proofErr w:type="gramStart"/>
      <w:r>
        <w:t>» ,</w:t>
      </w:r>
      <w:proofErr w:type="gramEnd"/>
      <w:r>
        <w:t xml:space="preserve"> cette définition minimale de l’empire  </w:t>
      </w:r>
      <w:r>
        <w:rPr>
          <w:rStyle w:val="Accentuation"/>
        </w:rPr>
        <w:t xml:space="preserve">– </w:t>
      </w:r>
      <w:r>
        <w:rPr>
          <w:rStyle w:val="Accentuation"/>
          <w:i w:val="0"/>
          <w:iCs w:val="0"/>
        </w:rPr>
        <w:t>le déni impérial des trois démocraties française, britannique et étatsunienne semble la chose la mieux partagée dans l’utilisation du Pacifique pour y réaliser des essais nucléaires</w:t>
      </w:r>
      <w:r>
        <w:rPr>
          <w:rStyle w:val="Appelnotedebasdep"/>
        </w:rPr>
        <w:footnoteReference w:id="5"/>
      </w:r>
      <w:r>
        <w:rPr>
          <w:rStyle w:val="Accentuation"/>
          <w:i w:val="0"/>
          <w:iCs w:val="0"/>
        </w:rPr>
        <w:t xml:space="preserve">. Dans les trois cas, des métropoles usent de marges territoriales, infériorisées politiquement, </w:t>
      </w:r>
      <w:r w:rsidR="003707BA">
        <w:t>e</w:t>
      </w:r>
      <w:r w:rsidR="00540D49">
        <w:t>t d’un</w:t>
      </w:r>
      <w:r w:rsidR="003707BA">
        <w:t xml:space="preserve"> impérialisme nucléaire tel que défini par Christopher Hill : un État métropolitain </w:t>
      </w:r>
      <w:r w:rsidR="00540D49">
        <w:t>dispose</w:t>
      </w:r>
      <w:r w:rsidR="003707BA">
        <w:t xml:space="preserve"> de sa puissance pour installer des polygones de tirs dans des territoires éloignés de la métropole, qui dépendent de lui, lui rendent des services et assument pour lui les risques, sans en avoir le choix</w:t>
      </w:r>
      <w:r w:rsidR="003707BA">
        <w:rPr>
          <w:rStyle w:val="Appelnotedebasdep"/>
        </w:rPr>
        <w:footnoteReference w:id="6"/>
      </w:r>
      <w:r w:rsidR="003707BA">
        <w:t xml:space="preserve">. </w:t>
      </w:r>
    </w:p>
    <w:p w14:paraId="21121F43" w14:textId="66A410F3" w:rsidR="009866CB" w:rsidRDefault="00DB00A0" w:rsidP="00FF7267">
      <w:pPr>
        <w:spacing w:after="0"/>
        <w:ind w:firstLine="708"/>
      </w:pPr>
      <w:r>
        <w:t xml:space="preserve">Le choix </w:t>
      </w:r>
      <w:r w:rsidR="00540D49">
        <w:t xml:space="preserve">français </w:t>
      </w:r>
      <w:r>
        <w:t>des Tuamotu pour un 3</w:t>
      </w:r>
      <w:r w:rsidRPr="00EC3B2C">
        <w:rPr>
          <w:vertAlign w:val="superscript"/>
        </w:rPr>
        <w:t>e</w:t>
      </w:r>
      <w:r>
        <w:t xml:space="preserve"> centre d’essais prend le relais </w:t>
      </w:r>
      <w:r w:rsidR="00432802">
        <w:t>de</w:t>
      </w:r>
      <w:r>
        <w:t xml:space="preserve"> ceux choisis en Algérie en 1957 pour des tirs aériens à </w:t>
      </w:r>
      <w:proofErr w:type="spellStart"/>
      <w:r w:rsidR="004371C7">
        <w:t>Reggane</w:t>
      </w:r>
      <w:proofErr w:type="spellEnd"/>
      <w:r>
        <w:t xml:space="preserve"> </w:t>
      </w:r>
      <w:r w:rsidR="00540D49">
        <w:t>puis</w:t>
      </w:r>
      <w:r>
        <w:t xml:space="preserve"> pour des tirs confinés en 1960. </w:t>
      </w:r>
      <w:r w:rsidR="00540D49">
        <w:t>Paris</w:t>
      </w:r>
      <w:r>
        <w:t xml:space="preserve"> renoue plus ou moins explicitement avec l’ambivalence manifestée lors du premier XIX</w:t>
      </w:r>
      <w:r w:rsidRPr="00C77590">
        <w:rPr>
          <w:vertAlign w:val="superscript"/>
        </w:rPr>
        <w:t>e</w:t>
      </w:r>
      <w:r>
        <w:t xml:space="preserve"> siècle dans la région en présentant son investissement massif en hommes, capitaux et matériels pour construire le polygone de tirs, comme la manifestation d’une intégration libératrice à la France et comme une forme de résistance à l’impérialisme américain dans un</w:t>
      </w:r>
      <w:r w:rsidR="00C77590">
        <w:t>e</w:t>
      </w:r>
      <w:r>
        <w:t xml:space="preserve"> Océanie dominée par la Puissance qui a pris le relais de la Grande-Bretagne impériale un siècle plus tôt</w:t>
      </w:r>
      <w:r>
        <w:rPr>
          <w:rStyle w:val="Appelnotedebasdep"/>
        </w:rPr>
        <w:footnoteReference w:id="7"/>
      </w:r>
      <w:r>
        <w:t>.</w:t>
      </w:r>
      <w:r w:rsidR="00540D49">
        <w:t xml:space="preserve"> Les </w:t>
      </w:r>
      <w:r w:rsidR="004A14A6">
        <w:t>intervention</w:t>
      </w:r>
      <w:r w:rsidR="00030398">
        <w:t>s</w:t>
      </w:r>
      <w:r w:rsidR="004A14A6">
        <w:t xml:space="preserve"> </w:t>
      </w:r>
      <w:r w:rsidR="00960EB6">
        <w:t>militaire</w:t>
      </w:r>
      <w:r w:rsidR="00030398">
        <w:t>s</w:t>
      </w:r>
      <w:r w:rsidR="00960EB6">
        <w:t xml:space="preserve"> </w:t>
      </w:r>
      <w:r w:rsidR="003312D2">
        <w:t xml:space="preserve">dans </w:t>
      </w:r>
      <w:r w:rsidR="003312D2">
        <w:lastRenderedPageBreak/>
        <w:t xml:space="preserve">les années 1840 </w:t>
      </w:r>
      <w:r w:rsidR="004A14A6">
        <w:t>pour annexer les Marquises et obtenir un protectorat à Tahiti</w:t>
      </w:r>
      <w:r w:rsidR="00540D49">
        <w:t xml:space="preserve"> </w:t>
      </w:r>
      <w:r w:rsidR="00FB49AA">
        <w:t>se justifie</w:t>
      </w:r>
      <w:r w:rsidR="00540D49">
        <w:t>nt</w:t>
      </w:r>
      <w:r w:rsidR="00FB49AA">
        <w:t xml:space="preserve"> par une régulation libérale</w:t>
      </w:r>
      <w:r w:rsidR="003401B8">
        <w:t xml:space="preserve"> de l’État</w:t>
      </w:r>
      <w:r w:rsidR="00FB49AA">
        <w:t xml:space="preserve"> en faveur de la liberté religieuse</w:t>
      </w:r>
      <w:r w:rsidR="004A14A6">
        <w:t xml:space="preserve">. </w:t>
      </w:r>
      <w:r w:rsidR="00030398">
        <w:t>Il</w:t>
      </w:r>
      <w:r w:rsidR="004A14A6">
        <w:t xml:space="preserve"> s’agit </w:t>
      </w:r>
      <w:r w:rsidR="00F4349D">
        <w:t>de</w:t>
      </w:r>
      <w:r w:rsidR="00FB49AA">
        <w:t xml:space="preserve"> </w:t>
      </w:r>
      <w:r w:rsidR="003401B8">
        <w:t xml:space="preserve">défendre le culte catholique empêché par l’alliance </w:t>
      </w:r>
      <w:r w:rsidR="00960EB6">
        <w:t xml:space="preserve">des </w:t>
      </w:r>
      <w:proofErr w:type="spellStart"/>
      <w:r w:rsidR="003401B8">
        <w:t>Pomare</w:t>
      </w:r>
      <w:proofErr w:type="spellEnd"/>
      <w:r w:rsidR="00960EB6">
        <w:t xml:space="preserve"> et de la </w:t>
      </w:r>
      <w:r w:rsidR="003401B8">
        <w:t>LMS</w:t>
      </w:r>
      <w:r w:rsidR="004A14A6">
        <w:t xml:space="preserve"> </w:t>
      </w:r>
      <w:r w:rsidR="00960EB6">
        <w:t>mais aussi, de concert avec Londres,</w:t>
      </w:r>
      <w:r w:rsidR="004A14A6">
        <w:t xml:space="preserve"> d’empêcher </w:t>
      </w:r>
      <w:r w:rsidR="00960EB6">
        <w:t>l</w:t>
      </w:r>
      <w:r w:rsidR="004A14A6">
        <w:t>es</w:t>
      </w:r>
      <w:r w:rsidR="00F4349D">
        <w:t xml:space="preserve"> </w:t>
      </w:r>
      <w:r w:rsidR="00960EB6">
        <w:t xml:space="preserve">rivalités religieuses en Polynésie </w:t>
      </w:r>
      <w:r w:rsidR="00F4349D">
        <w:t xml:space="preserve">de </w:t>
      </w:r>
      <w:r w:rsidR="00030398">
        <w:t>rejouer</w:t>
      </w:r>
      <w:r w:rsidR="00F4349D">
        <w:t xml:space="preserve"> les </w:t>
      </w:r>
      <w:r w:rsidR="004913A6">
        <w:t>luttes</w:t>
      </w:r>
      <w:r w:rsidR="00F4349D">
        <w:t xml:space="preserve"> civil</w:t>
      </w:r>
      <w:r w:rsidR="004913A6">
        <w:t>e</w:t>
      </w:r>
      <w:r w:rsidR="00F4349D">
        <w:t xml:space="preserve">s </w:t>
      </w:r>
      <w:r w:rsidR="004913A6">
        <w:t>du temps des</w:t>
      </w:r>
      <w:r w:rsidR="00F4349D">
        <w:t xml:space="preserve"> guerres de religion</w:t>
      </w:r>
      <w:r w:rsidR="00D7287A">
        <w:t xml:space="preserve">. </w:t>
      </w:r>
      <w:r w:rsidR="00540D49">
        <w:t>L</w:t>
      </w:r>
      <w:r w:rsidR="00D7287A">
        <w:t>a spécificité de l’impérialisme français, son faux nez en quelque sorte, consiste</w:t>
      </w:r>
      <w:r w:rsidR="00F4349D">
        <w:t xml:space="preserve"> </w:t>
      </w:r>
      <w:r w:rsidR="00D7287A">
        <w:t>à prétendre</w:t>
      </w:r>
      <w:r w:rsidR="00F4349D">
        <w:t xml:space="preserve"> protéger</w:t>
      </w:r>
      <w:r w:rsidR="003401B8">
        <w:t xml:space="preserve"> la liberté de culture et de mœurs des autochtones, qui serait menacée</w:t>
      </w:r>
      <w:r w:rsidR="004913A6">
        <w:t xml:space="preserve"> par le puritanisme des missionnaires anglais</w:t>
      </w:r>
      <w:r w:rsidR="003401B8">
        <w:rPr>
          <w:rStyle w:val="Appelnotedebasdep"/>
        </w:rPr>
        <w:footnoteReference w:id="8"/>
      </w:r>
      <w:r w:rsidR="003401B8">
        <w:t xml:space="preserve">. </w:t>
      </w:r>
      <w:r w:rsidR="00540D49">
        <w:t>L</w:t>
      </w:r>
      <w:r w:rsidR="0062719A">
        <w:t>’impérialisme français ne se pense pas comme tel</w:t>
      </w:r>
      <w:r w:rsidR="00DA6741">
        <w:t>,</w:t>
      </w:r>
      <w:r w:rsidR="00D460EB">
        <w:t xml:space="preserve"> en Océanie</w:t>
      </w:r>
      <w:r w:rsidR="00DA6741">
        <w:t>,</w:t>
      </w:r>
      <w:r w:rsidR="002F04A1">
        <w:t xml:space="preserve"> au</w:t>
      </w:r>
      <w:r w:rsidR="008D1862">
        <w:t xml:space="preserve"> milieu</w:t>
      </w:r>
      <w:r w:rsidR="003D34C5">
        <w:t xml:space="preserve"> </w:t>
      </w:r>
      <w:proofErr w:type="gramStart"/>
      <w:r w:rsidR="003D34C5">
        <w:t xml:space="preserve">du </w:t>
      </w:r>
      <w:r w:rsidR="002F04A1">
        <w:t xml:space="preserve"> XIX</w:t>
      </w:r>
      <w:r w:rsidR="002F04A1" w:rsidRPr="002F04A1">
        <w:rPr>
          <w:vertAlign w:val="superscript"/>
        </w:rPr>
        <w:t>e</w:t>
      </w:r>
      <w:proofErr w:type="gramEnd"/>
      <w:r w:rsidR="002F04A1">
        <w:rPr>
          <w:vertAlign w:val="superscript"/>
        </w:rPr>
        <w:t>.</w:t>
      </w:r>
      <w:r w:rsidR="0062719A">
        <w:t xml:space="preserve"> </w:t>
      </w:r>
      <w:r w:rsidR="00DA6741">
        <w:t xml:space="preserve">siècle, </w:t>
      </w:r>
      <w:r w:rsidR="00D460EB">
        <w:t xml:space="preserve">quoiqu’il infuse déjà la société française, avant même le moment impérial repéré par </w:t>
      </w:r>
      <w:r w:rsidR="00EF1B7C">
        <w:t>Christophe</w:t>
      </w:r>
      <w:r w:rsidR="00D460EB">
        <w:t xml:space="preserve"> </w:t>
      </w:r>
      <w:proofErr w:type="spellStart"/>
      <w:r w:rsidR="00D460EB">
        <w:t>Charle</w:t>
      </w:r>
      <w:proofErr w:type="spellEnd"/>
      <w:r w:rsidR="003401B8">
        <w:rPr>
          <w:rStyle w:val="Appelnotedebasdep"/>
        </w:rPr>
        <w:footnoteReference w:id="9"/>
      </w:r>
      <w:r w:rsidR="00BE2E2F">
        <w:t>. Il se conçoit comme une sorte d’anti-impérialisme, face à la présence britannique</w:t>
      </w:r>
      <w:r w:rsidR="00B56EB4">
        <w:t xml:space="preserve"> – qui se </w:t>
      </w:r>
      <w:r w:rsidR="003312D2">
        <w:t>projette</w:t>
      </w:r>
      <w:r w:rsidR="00B56EB4">
        <w:t xml:space="preserve"> </w:t>
      </w:r>
      <w:r w:rsidR="0095785B">
        <w:t>elle</w:t>
      </w:r>
      <w:r w:rsidR="00B56EB4">
        <w:t>-même comme une diffusion heureuse du doux commerce, facteur de paix</w:t>
      </w:r>
      <w:r w:rsidR="00793659">
        <w:rPr>
          <w:rStyle w:val="Appelnotedebasdep"/>
        </w:rPr>
        <w:footnoteReference w:id="10"/>
      </w:r>
      <w:r w:rsidR="00793659">
        <w:t>.</w:t>
      </w:r>
      <w:r w:rsidR="00384B0C">
        <w:t xml:space="preserve"> </w:t>
      </w:r>
      <w:r w:rsidR="00540D49">
        <w:t>Les</w:t>
      </w:r>
      <w:r w:rsidR="00E10743">
        <w:t xml:space="preserve"> États-Unis </w:t>
      </w:r>
      <w:r w:rsidR="00540D49">
        <w:t xml:space="preserve">manifestent </w:t>
      </w:r>
      <w:r w:rsidR="00B56EB4">
        <w:t>leur propre déni impérial</w:t>
      </w:r>
      <w:r w:rsidR="008D50C3">
        <w:t>. L</w:t>
      </w:r>
      <w:r w:rsidR="00384B0C">
        <w:t xml:space="preserve">es travaux récents sur </w:t>
      </w:r>
      <w:r w:rsidR="008C7E92">
        <w:t xml:space="preserve">la contribution germanique à </w:t>
      </w:r>
      <w:r w:rsidR="00384B0C">
        <w:t xml:space="preserve">l’impérialité </w:t>
      </w:r>
      <w:r w:rsidR="00B56EB4">
        <w:t>montrent</w:t>
      </w:r>
      <w:r w:rsidR="00F95C84">
        <w:t xml:space="preserve"> comment les 13 colonies soucieuses de s’émanciper de la métropole britannique</w:t>
      </w:r>
      <w:r w:rsidR="008D50C3">
        <w:t xml:space="preserve">, se sont </w:t>
      </w:r>
      <w:r w:rsidR="003312D2">
        <w:t>référées</w:t>
      </w:r>
      <w:r w:rsidR="008D50C3">
        <w:t xml:space="preserve"> </w:t>
      </w:r>
      <w:r w:rsidR="003312D2">
        <w:t>au</w:t>
      </w:r>
      <w:r w:rsidR="008D50C3">
        <w:t xml:space="preserve"> Saint-Empire</w:t>
      </w:r>
      <w:r w:rsidR="008D50C3" w:rsidRPr="008D50C3">
        <w:t xml:space="preserve"> </w:t>
      </w:r>
      <w:r w:rsidR="008D50C3">
        <w:t>où les États les plus puissants « ne font jamais de lois pour gouverner ou taxer les petits ou les faibles » (</w:t>
      </w:r>
      <w:r w:rsidR="00F95C84">
        <w:t>Stephen Hopkins, gouverneu</w:t>
      </w:r>
      <w:r w:rsidR="008D50C3">
        <w:t>r</w:t>
      </w:r>
      <w:r w:rsidR="00F95C84">
        <w:t xml:space="preserve"> de la colonie de Rhode Island</w:t>
      </w:r>
      <w:r w:rsidR="00467438">
        <w:t>, du Saint-Empire</w:t>
      </w:r>
      <w:r w:rsidR="0071149D">
        <w:t>)</w:t>
      </w:r>
      <w:r w:rsidR="00432802">
        <w:rPr>
          <w:rStyle w:val="Appelnotedebasdep"/>
        </w:rPr>
        <w:footnoteReference w:id="11"/>
      </w:r>
      <w:r w:rsidR="0071149D">
        <w:t xml:space="preserve">. Cette conception d’un </w:t>
      </w:r>
      <w:r w:rsidR="00DD16A4">
        <w:t>État</w:t>
      </w:r>
      <w:r w:rsidR="0071149D">
        <w:t xml:space="preserve"> fédéral comme une impérialité égalitaire permet une sorte de transposition en-dehors du continent nord-américain et justifie un impérialisme qui ne se pense pas comme une domination illégitime.</w:t>
      </w:r>
      <w:r w:rsidR="009866CB">
        <w:t xml:space="preserve"> </w:t>
      </w:r>
    </w:p>
    <w:p w14:paraId="4F461CFD" w14:textId="77777777" w:rsidR="009866CB" w:rsidRDefault="009866CB" w:rsidP="008D50C3">
      <w:pPr>
        <w:ind w:firstLine="708"/>
      </w:pPr>
    </w:p>
    <w:p w14:paraId="4FD2F2F8" w14:textId="2A2BE1E5" w:rsidR="00B245F8" w:rsidRDefault="00B245F8" w:rsidP="00B245F8">
      <w:pPr>
        <w:pStyle w:val="Titre3"/>
      </w:pPr>
      <w:r>
        <w:t xml:space="preserve">Impérialisme </w:t>
      </w:r>
      <w:r w:rsidR="00540D49">
        <w:t>ou</w:t>
      </w:r>
      <w:r w:rsidR="00ED29AB">
        <w:t xml:space="preserve"> colonialisme nucléaire</w:t>
      </w:r>
      <w:r w:rsidR="00540D49">
        <w:t> ? La continuation du projet de</w:t>
      </w:r>
      <w:r w:rsidR="0017092D">
        <w:t xml:space="preserve"> </w:t>
      </w:r>
      <w:r w:rsidR="004D5BBA">
        <w:t>modernisation</w:t>
      </w:r>
      <w:r w:rsidR="0017092D">
        <w:t xml:space="preserve"> </w:t>
      </w:r>
      <w:r>
        <w:t>coloniale</w:t>
      </w:r>
      <w:r w:rsidR="00540D49">
        <w:t>.</w:t>
      </w:r>
    </w:p>
    <w:p w14:paraId="6AC004DC" w14:textId="77777777" w:rsidR="00B245F8" w:rsidRPr="00B245F8" w:rsidRDefault="00B245F8" w:rsidP="00B245F8"/>
    <w:p w14:paraId="293AE7D3" w14:textId="6A974BDD" w:rsidR="00540D49" w:rsidRPr="00BA1E3E" w:rsidRDefault="00145056" w:rsidP="00FF7267">
      <w:pPr>
        <w:spacing w:after="0"/>
        <w:ind w:firstLine="708"/>
      </w:pPr>
      <w:r>
        <w:t>Tout le paradoxe de l’implantation du CEP au début des années 1960 tient à ce qu’il correspond à la fin de l’Empire français qui oblige précisément à relayer les installations au Sahara, qui se trouvent désormais dans une Algérie souveraine. Comment qualifier ce moment, en Polynésie française</w:t>
      </w:r>
      <w:r w:rsidR="00540D49">
        <w:t>, contemporain de la décolonisation,</w:t>
      </w:r>
      <w:r>
        <w:t xml:space="preserve"> et comment l’inscrire dans le cadre plus large des sites d’essais nucléaires étatsuniens et britanniques, alors que les États-Unis opéraient en-dehors d’un cadre d’Empire formel, mais en exploitant des îles de l’Empire britannique ?</w:t>
      </w:r>
      <w:r w:rsidR="00540D49">
        <w:t xml:space="preserve"> Faut-il parler de regain, de reprise impériale ou tout autre terme, rebond, renouvellement </w:t>
      </w:r>
      <w:proofErr w:type="spellStart"/>
      <w:r w:rsidR="00540D49">
        <w:t>etc</w:t>
      </w:r>
      <w:proofErr w:type="spellEnd"/>
      <w:r w:rsidR="00540D49">
        <w:t xml:space="preserve"> ? Il n’est pas certain que terme « impérial » réponde bien à la situation de l’action de la France en Océanie, mais ce n’est pas non plus le plus mauvais ou le plus dispensable si l’on reprend l’usage suivi notamment par Cooper qui distingue le mode impérial (l’intervention dans un autre gouvernement sans le gouverner vraiment), des modes hégémonique (fixer les règles du jeu que les autres doivent suivre) </w:t>
      </w:r>
      <w:r w:rsidR="00540D49">
        <w:lastRenderedPageBreak/>
        <w:t>et coloniaux (gouverner les affaires intérieures d’un gouvernement subordonné)</w:t>
      </w:r>
      <w:r w:rsidR="00540D49">
        <w:rPr>
          <w:rStyle w:val="Appelnotedebasdep"/>
        </w:rPr>
        <w:footnoteReference w:id="12"/>
      </w:r>
      <w:r w:rsidR="00540D49">
        <w:t>. Reprise impériale a le mérite de montrer qu’à l’heure du repli de la décolonisation, l’</w:t>
      </w:r>
      <w:proofErr w:type="spellStart"/>
      <w:r w:rsidR="00540D49">
        <w:t>Etat</w:t>
      </w:r>
      <w:proofErr w:type="spellEnd"/>
      <w:r w:rsidR="00540D49">
        <w:t xml:space="preserve"> s’insère pour la première fois dans des espaces polynésiens délaissés par la science et l’administration coloniale, notamment aux Tuamotu. Ce nouveau répertoire impérial oblige à penser la question du colonialisme nucléaire. </w:t>
      </w:r>
    </w:p>
    <w:p w14:paraId="1F047751" w14:textId="29D9A8F7" w:rsidR="00D571D8" w:rsidRDefault="00EC3B2C" w:rsidP="00FF7267">
      <w:pPr>
        <w:spacing w:after="0"/>
        <w:ind w:firstLine="708"/>
      </w:pPr>
      <w:r>
        <w:t xml:space="preserve">Lorsque les militaires choisissent en 1962-1963 d’implanter le CEP </w:t>
      </w:r>
      <w:r w:rsidR="00B245F8">
        <w:t>la</w:t>
      </w:r>
      <w:r w:rsidR="005132C7">
        <w:t xml:space="preserve"> </w:t>
      </w:r>
      <w:r>
        <w:t>Polynésie</w:t>
      </w:r>
      <w:r w:rsidR="00D65FE1">
        <w:t xml:space="preserve"> </w:t>
      </w:r>
      <w:r w:rsidR="00B245F8">
        <w:t xml:space="preserve">est </w:t>
      </w:r>
      <w:r w:rsidR="00437B52">
        <w:t>institutionnellement</w:t>
      </w:r>
      <w:r w:rsidR="005132C7">
        <w:t xml:space="preserve"> décolonisée depuis qu’elle a obtenue l’égalité des droits en 1946</w:t>
      </w:r>
      <w:r w:rsidR="00FB2E00">
        <w:t xml:space="preserve"> (abolition de la distinction entre sujets et citoyens)</w:t>
      </w:r>
      <w:r w:rsidR="00011250">
        <w:t xml:space="preserve">. Elle </w:t>
      </w:r>
      <w:r w:rsidR="005132C7">
        <w:t>choisi</w:t>
      </w:r>
      <w:r w:rsidR="00011250">
        <w:t>t</w:t>
      </w:r>
      <w:r w:rsidR="005132C7">
        <w:t xml:space="preserve"> de demeurer au sein de l’ensemble français</w:t>
      </w:r>
      <w:r w:rsidR="00D65FE1">
        <w:t xml:space="preserve"> en 1958</w:t>
      </w:r>
      <w:r w:rsidR="00CD7E52">
        <w:t xml:space="preserve"> (avec une adhésion certes bien moindre qu’ailleurs, et sur fond de barbouzeries de Foccart et des réseaux gaullistes sur place)</w:t>
      </w:r>
      <w:r w:rsidR="00B245F8">
        <w:t>.</w:t>
      </w:r>
      <w:r w:rsidR="003F7D79">
        <w:t xml:space="preserve"> </w:t>
      </w:r>
      <w:r w:rsidR="00540D49">
        <w:t>Par-delà ce qu’on peut qualifier</w:t>
      </w:r>
      <w:r w:rsidR="003F7D79">
        <w:t xml:space="preserve"> d’impérialisme nucléaire, </w:t>
      </w:r>
      <w:r w:rsidR="00540D49">
        <w:t>pour souligner</w:t>
      </w:r>
      <w:r w:rsidR="003F7D79">
        <w:t xml:space="preserve"> la dimension impériale à l’œuvre dans les logiques de sites d’essais </w:t>
      </w:r>
      <w:r w:rsidR="00D76EDB">
        <w:t>nucléaires</w:t>
      </w:r>
      <w:r w:rsidR="003F7D79">
        <w:t xml:space="preserve"> comme la dimension nucléaire des</w:t>
      </w:r>
      <w:r w:rsidR="00F2572A">
        <w:t xml:space="preserve"> luttes des Empires à l’heure de la Guerre froide</w:t>
      </w:r>
      <w:r w:rsidR="00540D49">
        <w:t>, que reste-t-il des héritages coloniaux au temps du CEP ? L</w:t>
      </w:r>
      <w:r w:rsidR="00C42AAE">
        <w:t xml:space="preserve">a façon dont les décideurs présentent l’obtention d’une force de frappe </w:t>
      </w:r>
      <w:r w:rsidR="00540D49">
        <w:t xml:space="preserve">française, </w:t>
      </w:r>
      <w:r w:rsidR="00C42AAE">
        <w:t>indépendante</w:t>
      </w:r>
      <w:r w:rsidR="00540D49">
        <w:t>,</w:t>
      </w:r>
      <w:r w:rsidR="00C42AAE">
        <w:t xml:space="preserve"> </w:t>
      </w:r>
      <w:r w:rsidR="00B245F8">
        <w:t>comme le moyen d’échapper aux logiques impériales et</w:t>
      </w:r>
      <w:r w:rsidR="00C42AAE">
        <w:t xml:space="preserve"> </w:t>
      </w:r>
      <w:r w:rsidR="00B245F8">
        <w:t xml:space="preserve">de faire bénéficier ses citoyens, en Polynésie comme dans l’hexagone, d’une </w:t>
      </w:r>
      <w:r w:rsidR="005057DB">
        <w:t>garantie sécuritaire dans le contexte de la guerre froid</w:t>
      </w:r>
      <w:r w:rsidR="00540D49">
        <w:t>e</w:t>
      </w:r>
      <w:r w:rsidR="005057DB">
        <w:t>, mais aussi</w:t>
      </w:r>
      <w:r w:rsidR="00B245F8">
        <w:t xml:space="preserve"> la synchronisation</w:t>
      </w:r>
      <w:r w:rsidR="005057DB">
        <w:t xml:space="preserve"> de cet impérialisme nucléaire</w:t>
      </w:r>
      <w:r w:rsidR="00B245F8">
        <w:t xml:space="preserve"> avec la décolonisation </w:t>
      </w:r>
      <w:r w:rsidR="005057DB">
        <w:t xml:space="preserve">qui marque </w:t>
      </w:r>
      <w:r w:rsidR="00B245F8">
        <w:t>la fin de l’Empire</w:t>
      </w:r>
      <w:r w:rsidR="005057DB">
        <w:t>,</w:t>
      </w:r>
      <w:r w:rsidR="00B245F8">
        <w:t xml:space="preserve"> </w:t>
      </w:r>
      <w:r w:rsidR="005057DB">
        <w:t xml:space="preserve">ont </w:t>
      </w:r>
      <w:r w:rsidR="00D571D8">
        <w:t xml:space="preserve">créé un voile de confusion et rendu difficile </w:t>
      </w:r>
      <w:r w:rsidR="00540D49">
        <w:t>la caractérisation des processus en cours avec le CEP</w:t>
      </w:r>
      <w:r w:rsidR="00D571D8">
        <w:t xml:space="preserve"> dans des catégories générales</w:t>
      </w:r>
      <w:r w:rsidR="00B245F8">
        <w:t xml:space="preserve">. </w:t>
      </w:r>
    </w:p>
    <w:p w14:paraId="1574B8A4" w14:textId="21D5541B" w:rsidR="008C4CFA" w:rsidRDefault="0017092D" w:rsidP="00FF7267">
      <w:pPr>
        <w:spacing w:after="0"/>
        <w:ind w:firstLine="708"/>
      </w:pPr>
      <w:r>
        <w:t xml:space="preserve">Pourquoi </w:t>
      </w:r>
      <w:r w:rsidR="004D5BBA">
        <w:t xml:space="preserve">utiliser encore </w:t>
      </w:r>
      <w:r>
        <w:t xml:space="preserve">la notion de colonialisme, en dépit </w:t>
      </w:r>
      <w:r w:rsidR="00B57996">
        <w:t xml:space="preserve">de </w:t>
      </w:r>
      <w:r w:rsidR="003A072F">
        <w:t>l’autonomie</w:t>
      </w:r>
      <w:r w:rsidR="00B57996">
        <w:t xml:space="preserve"> formelle de la Polynésie française ? </w:t>
      </w:r>
      <w:r w:rsidR="004D5BBA">
        <w:t>D’abord parce que l</w:t>
      </w:r>
      <w:r>
        <w:t xml:space="preserve">es deux notions, impérialisme et colonialisme, sont </w:t>
      </w:r>
      <w:r w:rsidR="00B57996">
        <w:t>invoquées au cœur du</w:t>
      </w:r>
      <w:r>
        <w:t xml:space="preserve"> processus </w:t>
      </w:r>
      <w:r w:rsidR="00B57996">
        <w:t>par les acteurs qui protestent contre les sites nucléaires. L</w:t>
      </w:r>
      <w:r>
        <w:t>es premières indépendances africaines conteste</w:t>
      </w:r>
      <w:r w:rsidR="00B57996">
        <w:t>nt</w:t>
      </w:r>
      <w:r>
        <w:t xml:space="preserve"> les essais français qui continuent dans l’Algérie en quête d’indépendance puis pleinement souveraine, mais qui concède un bail de 5 ans après l’indépendance aux militaires et ingénieurs français. Hill a signalé ce double usage par les acteurs contemporains de la naissance du CEP : le premier dirigeant du Ghana indépendant, Kwame Nkrumah, parlait d'un « nouvel impérialisme nucléaire » en désignant les essais nucléaires français dans le Sahara. Ce « nouvel impérialisme nucléaire » a ensuite été interprété par Nkrumah comme un produit du « néocolonialisme » : une alliance de banquiers britanniques, français et américains qui « dominent les secteurs monétaires et fiscaux des ... nouveaux États indépendants »</w:t>
      </w:r>
      <w:r w:rsidR="00711FD2">
        <w:rPr>
          <w:rStyle w:val="Appelnotedebasdep"/>
        </w:rPr>
        <w:footnoteReference w:id="13"/>
      </w:r>
      <w:r>
        <w:t xml:space="preserve">. </w:t>
      </w:r>
    </w:p>
    <w:p w14:paraId="4D58257B" w14:textId="2CA8DFF9" w:rsidR="007F3A51" w:rsidRDefault="0017092D" w:rsidP="00540D49">
      <w:pPr>
        <w:spacing w:after="0"/>
        <w:ind w:firstLine="708"/>
      </w:pPr>
      <w:r>
        <w:t xml:space="preserve">La prise en compte des milieux insulaires et des océans comme </w:t>
      </w:r>
      <w:r w:rsidR="004D5BBA">
        <w:t>autant</w:t>
      </w:r>
      <w:r>
        <w:t xml:space="preserve"> de laboratoires pour la science a manifesté ce retour à l’esprit </w:t>
      </w:r>
      <w:r w:rsidRPr="00011250">
        <w:rPr>
          <w:i/>
          <w:iCs/>
        </w:rPr>
        <w:t>colonial</w:t>
      </w:r>
      <w:r>
        <w:t xml:space="preserve"> d’appropriation</w:t>
      </w:r>
      <w:r w:rsidR="00D62A4B">
        <w:t>,</w:t>
      </w:r>
      <w:r>
        <w:t xml:space="preserve"> </w:t>
      </w:r>
      <w:r w:rsidR="00AB710F">
        <w:t>mais aussi une volonté de modernisation</w:t>
      </w:r>
      <w:r w:rsidR="00D62A4B">
        <w:t xml:space="preserve">. La mobilisation des </w:t>
      </w:r>
      <w:r w:rsidR="00202F36">
        <w:t>administrations civiles pour développer l’agriculture, le tourisme</w:t>
      </w:r>
      <w:r w:rsidR="00E441F5">
        <w:t>, la formation professionnelle,</w:t>
      </w:r>
      <w:r w:rsidR="00202F36">
        <w:t xml:space="preserve"> etc</w:t>
      </w:r>
      <w:r w:rsidR="004371C7">
        <w:t>.</w:t>
      </w:r>
      <w:r w:rsidR="00D62A4B">
        <w:t xml:space="preserve"> qui accompagne le CEP</w:t>
      </w:r>
      <w:r w:rsidR="00AB710F">
        <w:t xml:space="preserve"> rappelle le « moment modernisateur » du premier tiers du XX</w:t>
      </w:r>
      <w:r w:rsidR="000C1035" w:rsidRPr="00C77590">
        <w:rPr>
          <w:vertAlign w:val="superscript"/>
        </w:rPr>
        <w:t>e</w:t>
      </w:r>
      <w:r w:rsidR="00AB710F">
        <w:t xml:space="preserve"> siècle, dont les métropoles européen</w:t>
      </w:r>
      <w:r w:rsidR="00011250">
        <w:t>ne</w:t>
      </w:r>
      <w:r w:rsidR="00AB710F">
        <w:t>s n’ont plus les moyens après la 2</w:t>
      </w:r>
      <w:r w:rsidR="00AB710F" w:rsidRPr="00AB710F">
        <w:rPr>
          <w:vertAlign w:val="superscript"/>
        </w:rPr>
        <w:t>e</w:t>
      </w:r>
      <w:r w:rsidR="00AB710F">
        <w:t xml:space="preserve"> guerre mondiale. Faut-il voir le CEP comme un rejeu de ce moment modernisateur qui s’est épuisé dans l’Empire pendant les années 1950, mais demeure réalisable à l’échelle des « confettis d’Empire »</w:t>
      </w:r>
      <w:r w:rsidR="00011250">
        <w:t xml:space="preserve"> ? Le CEP à cet égard reprendrait dans le Pacifique </w:t>
      </w:r>
      <w:r w:rsidR="007F3A51">
        <w:t>l’utopie d’une « colonisation technicienne », formulée dans l’Entre-deux-guerres pour l’Afrique et l’Asie.</w:t>
      </w:r>
    </w:p>
    <w:p w14:paraId="035AD3DB" w14:textId="13BA38C9" w:rsidR="00D4510F" w:rsidRPr="003312D2" w:rsidRDefault="00D4510F" w:rsidP="004371C7">
      <w:pPr>
        <w:pBdr>
          <w:top w:val="nil"/>
          <w:left w:val="nil"/>
          <w:bottom w:val="nil"/>
          <w:right w:val="nil"/>
          <w:between w:val="nil"/>
        </w:pBdr>
        <w:spacing w:after="0"/>
        <w:ind w:firstLine="708"/>
        <w:rPr>
          <w:color w:val="000000"/>
        </w:rPr>
      </w:pPr>
      <w:r>
        <w:t xml:space="preserve">La colonisation est bien présente dans l’esprit des acteurs, qu’il s’agisse des militaires comme le marin </w:t>
      </w:r>
      <w:proofErr w:type="spellStart"/>
      <w:r>
        <w:t>Camussot</w:t>
      </w:r>
      <w:proofErr w:type="spellEnd"/>
      <w:r>
        <w:t xml:space="preserve"> qui dirige les premiers éléments du CEP au temps de sa construction (il </w:t>
      </w:r>
      <w:r>
        <w:rPr>
          <w:color w:val="000000"/>
        </w:rPr>
        <w:t xml:space="preserve">évoque « l’exaltation née du sentiment de participer à la naissance d’une entreprise » chez ceux </w:t>
      </w:r>
      <w:r>
        <w:rPr>
          <w:color w:val="000000"/>
        </w:rPr>
        <w:lastRenderedPageBreak/>
        <w:t>qui réalisent qu’ils font « œuvre de pionniers »</w:t>
      </w:r>
      <w:r>
        <w:rPr>
          <w:color w:val="000000"/>
          <w:vertAlign w:val="superscript"/>
        </w:rPr>
        <w:footnoteReference w:id="14"/>
      </w:r>
      <w:r>
        <w:rPr>
          <w:color w:val="000000"/>
        </w:rPr>
        <w:t xml:space="preserve">) ou des civils comme le gouverneur </w:t>
      </w:r>
      <w:proofErr w:type="spellStart"/>
      <w:r>
        <w:rPr>
          <w:color w:val="000000"/>
        </w:rPr>
        <w:t>Grimald</w:t>
      </w:r>
      <w:proofErr w:type="spellEnd"/>
      <w:r>
        <w:rPr>
          <w:color w:val="000000"/>
        </w:rPr>
        <w:t xml:space="preserve"> : </w:t>
      </w:r>
      <w:r>
        <w:t>« </w:t>
      </w:r>
      <w:r>
        <w:rPr>
          <w:color w:val="000000"/>
        </w:rPr>
        <w:t>sur ce corail millénaire voué à la science atomique j’ai retrouvé l’ardeur et la foi de ces planteurs que j’ai connus jadis dans les plaines marécageuses du delta cochinchinois, arrivés à l’orée de la colonisation. Planteurs d’autrefois, ingénieurs et techniciens d’aujourd’hui, toute la race des fondateurs d’avenir ! ». Les militaires du rang ne sont pas en reste et la fiction rend compte de cette lucidité tel ce fils d’un travailleur du CEP qui se souvient de son arrivée à Tahiti, en 1968 sous une forme romanesque : « Les autorités du nucléaire voulaient donner aux nouveaux arrivants le sentiment d’être des pionniers modernes, des conquérants »</w:t>
      </w:r>
      <w:r w:rsidR="003312D2">
        <w:rPr>
          <w:rStyle w:val="Appelnotedebasdep"/>
          <w:color w:val="000000"/>
        </w:rPr>
        <w:footnoteReference w:id="15"/>
      </w:r>
      <w:r>
        <w:rPr>
          <w:color w:val="000000"/>
        </w:rPr>
        <w:t>. Debré, premier ministre au moment du choix du CEP, sans s’étendre sur la Polynésie en particulier</w:t>
      </w:r>
      <w:r w:rsidR="00540D49">
        <w:rPr>
          <w:color w:val="000000"/>
        </w:rPr>
        <w:t>,</w:t>
      </w:r>
      <w:r>
        <w:rPr>
          <w:color w:val="000000"/>
        </w:rPr>
        <w:t xml:space="preserve"> développe sa vision de l’outre-mer dans ses mémoires. Il évoque la Guyane, marquée par une autre entreprise typique de l’impérialisme scientifique et technique avec Kourou. Ses mots convoquent explicitement l’imaginaire et la pratique coloniale lorsqu’il évoque le SMA et son « idée première » : « le défrichage et l’équipement de la Guyane en vue de la peupler par de nouveaux colons pour développer son économie ».</w:t>
      </w:r>
    </w:p>
    <w:p w14:paraId="4E7E22BE" w14:textId="0B195F58" w:rsidR="0017092D" w:rsidRDefault="00D62A4B" w:rsidP="004371C7">
      <w:pPr>
        <w:spacing w:after="0"/>
        <w:ind w:firstLine="708"/>
      </w:pPr>
      <w:r>
        <w:t xml:space="preserve"> La question recoupe </w:t>
      </w:r>
      <w:r w:rsidR="00202F36">
        <w:t>celle</w:t>
      </w:r>
      <w:r>
        <w:t xml:space="preserve"> de l’entrée en modernité, dont le CEP aurait été l’occasion pour une Polynésie délaissée par les projets modernisateurs </w:t>
      </w:r>
      <w:r w:rsidR="00E441F5">
        <w:t>au moment colonial du premier XX</w:t>
      </w:r>
      <w:r w:rsidR="000C1035" w:rsidRPr="00C77590">
        <w:rPr>
          <w:vertAlign w:val="superscript"/>
        </w:rPr>
        <w:t>e</w:t>
      </w:r>
      <w:r w:rsidR="00E441F5">
        <w:t xml:space="preserve"> siècle. Ce qui oblige à discriminer ce qui procède du CEP, en termes de modernisation, de ce qui lui préexistait et se trouve seulement accéléré par les flux d’hommes et de capitaux </w:t>
      </w:r>
      <w:r w:rsidR="00711FD2">
        <w:t>drainés</w:t>
      </w:r>
      <w:r w:rsidR="00E441F5">
        <w:t xml:space="preserve"> par les essais.</w:t>
      </w:r>
    </w:p>
    <w:p w14:paraId="5807B6FA" w14:textId="77777777" w:rsidR="00D4510F" w:rsidRDefault="00D4510F" w:rsidP="004D5BBA">
      <w:pPr>
        <w:ind w:firstLine="708"/>
      </w:pPr>
    </w:p>
    <w:p w14:paraId="568C5FD8" w14:textId="77777777" w:rsidR="003312D2" w:rsidRDefault="003312D2" w:rsidP="003312D2">
      <w:pPr>
        <w:pStyle w:val="Titre3"/>
      </w:pPr>
      <w:r>
        <w:t>Du déni impérial au déni sanitaire</w:t>
      </w:r>
    </w:p>
    <w:p w14:paraId="5616ECF0" w14:textId="77777777" w:rsidR="0017092D" w:rsidRDefault="0017092D"/>
    <w:p w14:paraId="5841ECE4" w14:textId="77777777" w:rsidR="00540D49" w:rsidRDefault="003312D2" w:rsidP="00540D49">
      <w:pPr>
        <w:pStyle w:val="Sansinterligne"/>
        <w:ind w:firstLine="708"/>
      </w:pPr>
      <w:r>
        <w:t>Le pouvoir militaire s’installe et s’en va mais perpétue un régime d’association avec la France pour les Polynésiens</w:t>
      </w:r>
      <w:r w:rsidR="00540D49">
        <w:t>. I</w:t>
      </w:r>
      <w:r>
        <w:t xml:space="preserve">l s’agit au fond d’un régime alternatif au modèle classique du système colonial qui ne se dit pas comme tel du côté des décideurs, en pleine décolonisation, et qui confère une centralité inédite à la Polynésie dans l’histoire de l’Empire français, au moment où ce dernier se défait, tandis que l’indépendance conquises par les nouveaux </w:t>
      </w:r>
      <w:proofErr w:type="spellStart"/>
      <w:r>
        <w:t>Etats</w:t>
      </w:r>
      <w:proofErr w:type="spellEnd"/>
      <w:r>
        <w:t xml:space="preserve"> insulaires, dans la région, accroît les différences de revenus et niveaux de vie. </w:t>
      </w:r>
    </w:p>
    <w:p w14:paraId="2CA90EE5" w14:textId="6EF51CD1" w:rsidR="003312D2" w:rsidRDefault="003312D2" w:rsidP="00540D49">
      <w:pPr>
        <w:pStyle w:val="Sansinterligne"/>
        <w:ind w:firstLine="708"/>
      </w:pPr>
      <w:r>
        <w:t xml:space="preserve">Cette façon d’utiliser la Polynésie comme une marge impériale et de relancer la colonisation par les choses et les esprits sans se le dire, </w:t>
      </w:r>
      <w:r w:rsidR="00540D49">
        <w:t xml:space="preserve">bref </w:t>
      </w:r>
      <w:r>
        <w:t>ce déni impérial va de pair avec le déni sur les effets sanitaires</w:t>
      </w:r>
      <w:r w:rsidR="00540D49">
        <w:t>. Ce double déni</w:t>
      </w:r>
      <w:r>
        <w:t xml:space="preserve"> </w:t>
      </w:r>
      <w:r w:rsidR="00540D49">
        <w:t>conduit</w:t>
      </w:r>
      <w:r>
        <w:t xml:space="preserve"> à interroger la culture impériale de la France, à travers la permanence de la naturalisation de la présence française en Polynésie sous des formes </w:t>
      </w:r>
      <w:r w:rsidR="004371C7">
        <w:t>institutionnelles</w:t>
      </w:r>
      <w:r>
        <w:t xml:space="preserve"> nouvelles, mais aussi la culture politique des Polynésiens, alors que l’aspiration à la décolonisation peut difficilement prendre une autre forme que la revendication à la souveraineté.</w:t>
      </w:r>
      <w:r w:rsidR="00540D49">
        <w:t xml:space="preserve"> </w:t>
      </w:r>
      <w:r>
        <w:t>Or, la revendication à la souveraineté s’alimenter</w:t>
      </w:r>
      <w:r w:rsidR="009D2C38">
        <w:t>a</w:t>
      </w:r>
      <w:r>
        <w:t xml:space="preserve"> à la contestation du CEP, et cette dernière se concentrer</w:t>
      </w:r>
      <w:r w:rsidR="009D2C38">
        <w:t>a elle-même</w:t>
      </w:r>
      <w:r>
        <w:t xml:space="preserve"> sur les périls sanitaires dissimulés par l’</w:t>
      </w:r>
      <w:proofErr w:type="spellStart"/>
      <w:r>
        <w:t>Etat</w:t>
      </w:r>
      <w:proofErr w:type="spellEnd"/>
      <w:r>
        <w:t xml:space="preserve">. De sorte que le déni sanitaire des autorités sur les risques minimisés, euphémisés, puis les </w:t>
      </w:r>
      <w:r w:rsidR="004371C7">
        <w:t>dissimulations</w:t>
      </w:r>
      <w:r>
        <w:t xml:space="preserve"> des retombées vont faire converger la dénonciation d’un double déni, sanitaire et impérial. </w:t>
      </w:r>
    </w:p>
    <w:p w14:paraId="68E8482E" w14:textId="31622A26" w:rsidR="00D65233" w:rsidRDefault="003F47FC" w:rsidP="003312D2">
      <w:pPr>
        <w:ind w:firstLine="708"/>
      </w:pPr>
      <w:r>
        <w:t>Ces questions</w:t>
      </w:r>
      <w:r w:rsidR="00540D49">
        <w:t xml:space="preserve"> taxinomiques nous semblent essentielles. Mais,</w:t>
      </w:r>
      <w:r>
        <w:t xml:space="preserve"> pour</w:t>
      </w:r>
      <w:r w:rsidR="00AE7709">
        <w:t xml:space="preserve"> ne pas se cantonner à des spéculations théoriques,</w:t>
      </w:r>
      <w:r w:rsidR="00540D49">
        <w:t xml:space="preserve"> elles</w:t>
      </w:r>
      <w:r w:rsidR="00AE7709">
        <w:t xml:space="preserve"> </w:t>
      </w:r>
      <w:r w:rsidR="003312D2">
        <w:t xml:space="preserve">doivent </w:t>
      </w:r>
      <w:r w:rsidR="00E05B96">
        <w:t>se confronte</w:t>
      </w:r>
      <w:r w:rsidR="003A072F">
        <w:t>r</w:t>
      </w:r>
      <w:r w:rsidR="00E05B96">
        <w:t xml:space="preserve"> à la réalité historique de l’essor des circulations </w:t>
      </w:r>
      <w:r w:rsidR="003312D2">
        <w:t xml:space="preserve">au temps des impérialismes </w:t>
      </w:r>
      <w:r w:rsidR="00D65233">
        <w:t>nucléaire</w:t>
      </w:r>
      <w:r w:rsidR="003312D2">
        <w:t>s étatsuniens, britanniques français</w:t>
      </w:r>
      <w:r w:rsidR="00540D49">
        <w:t>. C’est pourquoi nous proposons de</w:t>
      </w:r>
      <w:r w:rsidR="00D65233">
        <w:t xml:space="preserve"> penser les circulations </w:t>
      </w:r>
      <w:r w:rsidR="003312D2">
        <w:t>afin</w:t>
      </w:r>
      <w:r w:rsidR="00D65233">
        <w:t xml:space="preserve"> </w:t>
      </w:r>
      <w:r w:rsidR="003312D2">
        <w:t>d’</w:t>
      </w:r>
      <w:r w:rsidR="00D65233">
        <w:t xml:space="preserve">éclairer ce qui se joue entre </w:t>
      </w:r>
      <w:r w:rsidR="00013527">
        <w:t>les métropoles et les sites, les sites entre eux mais aussi les circulations internes à la P</w:t>
      </w:r>
      <w:r w:rsidR="00540D49">
        <w:t>olynésie française et, plus largement, à l’ensemble du Pacifique nucléarisé</w:t>
      </w:r>
      <w:r w:rsidR="003312D2">
        <w:t>.</w:t>
      </w:r>
    </w:p>
    <w:p w14:paraId="636C80EB" w14:textId="77777777" w:rsidR="00540D49" w:rsidRDefault="00540D49" w:rsidP="003F47FC">
      <w:pPr>
        <w:pStyle w:val="Titre2"/>
      </w:pPr>
    </w:p>
    <w:p w14:paraId="3225EE6B" w14:textId="69184719" w:rsidR="003F47FC" w:rsidRDefault="003F47FC" w:rsidP="003F47FC">
      <w:pPr>
        <w:pStyle w:val="Titre2"/>
      </w:pPr>
      <w:r>
        <w:t xml:space="preserve">Circulations </w:t>
      </w:r>
    </w:p>
    <w:p w14:paraId="74385350" w14:textId="77777777" w:rsidR="003F47FC" w:rsidRDefault="003F47FC" w:rsidP="003F47FC"/>
    <w:p w14:paraId="790BF43E" w14:textId="27B6411F" w:rsidR="00540D49" w:rsidRDefault="003F47FC" w:rsidP="00540D49">
      <w:pPr>
        <w:pStyle w:val="Sansinterligne"/>
        <w:ind w:firstLine="708"/>
      </w:pPr>
      <w:r>
        <w:t xml:space="preserve">En 1961, l’inauguration de l’aéroport international de Tahiti marque une nouvelle étape dans le développement de l’accessibilité de la Polynésie française. On assiste à une réorganisation progressive des flux qui n’est pas une </w:t>
      </w:r>
      <w:r w:rsidR="00B5236A">
        <w:t>rupture</w:t>
      </w:r>
      <w:r>
        <w:t xml:space="preserve"> absolue des pratiques antérieures : le port</w:t>
      </w:r>
      <w:r w:rsidR="004B675D">
        <w:t xml:space="preserve"> de </w:t>
      </w:r>
      <w:proofErr w:type="spellStart"/>
      <w:r w:rsidR="004B675D">
        <w:t>Pape’ete</w:t>
      </w:r>
      <w:proofErr w:type="spellEnd"/>
      <w:r>
        <w:t xml:space="preserve"> se spécialise dans le trafic de marchandises et l’aéroport dans le trafic de personnes. </w:t>
      </w:r>
      <w:r w:rsidR="00E6728B">
        <w:t>La période correspond donc à</w:t>
      </w:r>
      <w:r w:rsidR="000C1035">
        <w:t xml:space="preserve"> une</w:t>
      </w:r>
      <w:r w:rsidR="00E6728B">
        <w:t xml:space="preserve"> a</w:t>
      </w:r>
      <w:r>
        <w:t>ccélération des vitesses de déplacement à longue distance</w:t>
      </w:r>
      <w:r w:rsidR="00E6728B">
        <w:t xml:space="preserve"> et une i</w:t>
      </w:r>
      <w:r>
        <w:t xml:space="preserve">nscription renforcée de Tahiti dans un espace circulatoire international de plus en plus </w:t>
      </w:r>
      <w:proofErr w:type="gramStart"/>
      <w:r>
        <w:t>mondialisé</w:t>
      </w:r>
      <w:proofErr w:type="gramEnd"/>
      <w:r>
        <w:t xml:space="preserve"> (au sens de </w:t>
      </w:r>
      <w:r w:rsidR="00E6728B">
        <w:t>« </w:t>
      </w:r>
      <w:r>
        <w:t>concourant à la mondialisation</w:t>
      </w:r>
      <w:r w:rsidR="00E6728B">
        <w:t> »</w:t>
      </w:r>
      <w:r>
        <w:t xml:space="preserve">). </w:t>
      </w:r>
      <w:r w:rsidR="00E6728B">
        <w:t>La Polynésie française r</w:t>
      </w:r>
      <w:r>
        <w:t>este cependant une marge de ce système</w:t>
      </w:r>
      <w:r w:rsidR="00E6728B">
        <w:t xml:space="preserve"> : elle n’est </w:t>
      </w:r>
      <w:r>
        <w:t xml:space="preserve">pas sur les grandes routes maritimes, </w:t>
      </w:r>
      <w:r w:rsidR="00E6728B">
        <w:t xml:space="preserve">les </w:t>
      </w:r>
      <w:r>
        <w:t xml:space="preserve">vols restent très coûteux. </w:t>
      </w:r>
    </w:p>
    <w:p w14:paraId="20B523DE" w14:textId="77777777" w:rsidR="00540D49" w:rsidRDefault="003F47FC" w:rsidP="00540D49">
      <w:pPr>
        <w:pStyle w:val="Sansinterligne"/>
        <w:ind w:firstLine="708"/>
      </w:pPr>
      <w:r>
        <w:t>À partir de 1963, la décision pris</w:t>
      </w:r>
      <w:r w:rsidR="00E6728B">
        <w:t>e</w:t>
      </w:r>
      <w:r>
        <w:t xml:space="preserve"> par le gouvernement français d’implanter le CEP en Polynésie entraîne un renforcement paradoxal des liens et une mainmise directe sur une partie du </w:t>
      </w:r>
      <w:proofErr w:type="gramStart"/>
      <w:r>
        <w:t>territoire  dans</w:t>
      </w:r>
      <w:proofErr w:type="gramEnd"/>
      <w:r>
        <w:t xml:space="preserve"> un contexte plus général de décolonisation ou de décentralisation. À l’échelle de la Polynésie française, un nouveau système d’infrastructures est décidé : construction d’aérodromes</w:t>
      </w:r>
      <w:r w:rsidR="00E6728B">
        <w:t xml:space="preserve"> dans les autres archipels</w:t>
      </w:r>
      <w:r>
        <w:t xml:space="preserve">, ouverture de passes là où le CEP s’implantent directement (sites, base avancée, base arrière, postes périphériques) mais aussi dans les îles où des projets de développement sont initiés en parallèle. </w:t>
      </w:r>
    </w:p>
    <w:p w14:paraId="09DF1B6D" w14:textId="13A21310" w:rsidR="0008015C" w:rsidRDefault="003F47FC" w:rsidP="00E02627">
      <w:pPr>
        <w:pStyle w:val="Sansinterligne"/>
        <w:ind w:firstLine="708"/>
      </w:pPr>
      <w:r>
        <w:t>Du point de vue des équipements, il est ainsi possible d’identifier un tournant à partir des années 1960, un tournant qui ne correspond que partiellement à l’implantation du CEP en Polynésie française. Ce sujet a même suscité une controverse scientifique. Toujours est-il que le développement des infrastructures de transport accompagne ce que certains auteurs ont qualifié de « nucléarisation du territoire »</w:t>
      </w:r>
      <w:r w:rsidR="009D2C38" w:rsidRPr="009D2C38">
        <w:rPr>
          <w:rStyle w:val="Appelnotedebasdep"/>
        </w:rPr>
        <w:t xml:space="preserve"> </w:t>
      </w:r>
      <w:r w:rsidR="009D2C38">
        <w:rPr>
          <w:rStyle w:val="Appelnotedebasdep"/>
        </w:rPr>
        <w:footnoteReference w:id="16"/>
      </w:r>
      <w:r>
        <w:t>, une manière de considérer que la circulation des choses nucléaires mais aussi des personnes engagées dans les différentes étapes du travail qu’implique la conception/confection d’une arme nucléaire ou la production d’une énergie nucléaire contribue à étendre le domaine de la nucléarité au-delà des espaces et des minerais directement concernés par la radioactivité. La nucléarité devient un principe d’organisation du territoire suffisamment déterminant pour qualifier des espaces sans pour autant les définir (« </w:t>
      </w:r>
      <w:proofErr w:type="spellStart"/>
      <w:r w:rsidRPr="006600BE">
        <w:rPr>
          <w:i/>
          <w:iCs/>
        </w:rPr>
        <w:t>nuclearity</w:t>
      </w:r>
      <w:proofErr w:type="spellEnd"/>
      <w:r w:rsidRPr="006600BE">
        <w:rPr>
          <w:i/>
          <w:iCs/>
        </w:rPr>
        <w:t xml:space="preserve"> </w:t>
      </w:r>
      <w:proofErr w:type="spellStart"/>
      <w:r w:rsidRPr="006600BE">
        <w:rPr>
          <w:i/>
          <w:iCs/>
        </w:rPr>
        <w:t>among</w:t>
      </w:r>
      <w:proofErr w:type="spellEnd"/>
      <w:r w:rsidRPr="006600BE">
        <w:rPr>
          <w:i/>
          <w:iCs/>
        </w:rPr>
        <w:t xml:space="preserve"> </w:t>
      </w:r>
      <w:proofErr w:type="spellStart"/>
      <w:r w:rsidRPr="006600BE">
        <w:rPr>
          <w:i/>
          <w:iCs/>
        </w:rPr>
        <w:t>things</w:t>
      </w:r>
      <w:proofErr w:type="spellEnd"/>
      <w:r>
        <w:t> » et pas « </w:t>
      </w:r>
      <w:proofErr w:type="spellStart"/>
      <w:r w:rsidRPr="006600BE">
        <w:rPr>
          <w:i/>
          <w:iCs/>
        </w:rPr>
        <w:t>nuclearity</w:t>
      </w:r>
      <w:proofErr w:type="spellEnd"/>
      <w:r w:rsidRPr="006600BE">
        <w:rPr>
          <w:i/>
          <w:iCs/>
        </w:rPr>
        <w:t xml:space="preserve"> of </w:t>
      </w:r>
      <w:proofErr w:type="spellStart"/>
      <w:r w:rsidRPr="006600BE">
        <w:rPr>
          <w:i/>
          <w:iCs/>
        </w:rPr>
        <w:t>things</w:t>
      </w:r>
      <w:proofErr w:type="spellEnd"/>
      <w:r>
        <w:t> »</w:t>
      </w:r>
      <w:r w:rsidR="00E6728B">
        <w:t xml:space="preserve"> selon Gabrielle Hecht</w:t>
      </w:r>
      <w:r w:rsidR="009D2C38">
        <w:rPr>
          <w:rStyle w:val="Appelnotedebasdep"/>
        </w:rPr>
        <w:footnoteReference w:id="17"/>
      </w:r>
      <w:r>
        <w:t>). En Polynésie française, la nucléarisation concerne la réalisation de tirs, appelés « essais » associés à des circulations très contrôlées/sécurisées (matériaux, technologies,</w:t>
      </w:r>
      <w:r w:rsidRPr="00A224B2">
        <w:t xml:space="preserve"> </w:t>
      </w:r>
      <w:r>
        <w:t>engins, personnels, populations mises à l’abri dans les espaces les plus exposés). Personne ne doit manquer à l’appel lors des tirs, il faut sécuriser les embauches (</w:t>
      </w:r>
      <w:r w:rsidR="00E6728B">
        <w:t>en respectant des enjeux géopolitiques qui interdisent par exemple le recours à une main d’œuvre originaire des îles Cook, ce qui avait été le cas pour les phosphates de Makatea)</w:t>
      </w:r>
      <w:r>
        <w:t>. L’acheminement des bombes utilisées est lui-même complexe.</w:t>
      </w:r>
    </w:p>
    <w:p w14:paraId="528962B7" w14:textId="4B023C25" w:rsidR="003F47FC" w:rsidRDefault="0008015C" w:rsidP="0008015C">
      <w:pPr>
        <w:pStyle w:val="Sansinterligne"/>
        <w:ind w:firstLine="708"/>
      </w:pPr>
      <w:r>
        <w:t xml:space="preserve">La nucléarisation du territoire implique cependant bien d’autres flux (machines, matériaux, biens de consommation etc.) qui ne relèvent pas directement de l’exceptionnalisme nucléaire mais dont l’arrivée massive et inédite illustrerait le développement et la modernisation de la Polynésie française. Toutefois, cette croissance est « régressive » </w:t>
      </w:r>
      <w:r w:rsidR="00ED26F8">
        <w:t xml:space="preserve">(au sens du rapport Nora) </w:t>
      </w:r>
      <w:r>
        <w:t xml:space="preserve">car elle est moins liée à une politique délibérée que le sous-produit des dépenses considérables </w:t>
      </w:r>
      <w:r w:rsidR="00ED26F8">
        <w:t>engagées</w:t>
      </w:r>
      <w:r>
        <w:t xml:space="preserve"> pour le CEP. D’où des projets précoces visant à susciter une croissance plus autonome susceptible de prendre le relais. D’une façon similaire à la nucléarisation de certains pays d’Afrique</w:t>
      </w:r>
      <w:r>
        <w:rPr>
          <w:rStyle w:val="Appelnotedebasdep"/>
        </w:rPr>
        <w:footnoteReference w:id="18"/>
      </w:r>
      <w:r>
        <w:t xml:space="preserve"> l</w:t>
      </w:r>
      <w:r w:rsidR="003F47FC">
        <w:t>a Polynésie reste un territoire fétichisé</w:t>
      </w:r>
      <w:r w:rsidR="009D2C38">
        <w:rPr>
          <w:rStyle w:val="Appelnotedebasdep"/>
        </w:rPr>
        <w:footnoteReference w:id="19"/>
      </w:r>
      <w:r w:rsidR="003F47FC">
        <w:t xml:space="preserve">, rangé, sinon du côté du naturel, du côté du traditionnel et de l’exotique. Dans le récit européen (des décideurs français), les compteurs restent / sont remis à zéro avec </w:t>
      </w:r>
      <w:r w:rsidR="003F47FC">
        <w:lastRenderedPageBreak/>
        <w:t xml:space="preserve">l’implantation du CEP : la Polynésie française est envisagée comme un espace vierge de toutes dynamiques « modernes », dépourvu de technologies. Ceci revient à ne pas tenir compte des </w:t>
      </w:r>
      <w:r w:rsidR="00E6728B">
        <w:t>processus</w:t>
      </w:r>
      <w:r w:rsidR="003F47FC">
        <w:t xml:space="preserve"> déjà à l’œuvre, des flux déjà existants </w:t>
      </w:r>
      <w:r>
        <w:t xml:space="preserve">telle la </w:t>
      </w:r>
      <w:r w:rsidR="003F47FC">
        <w:t>croissance urbaine</w:t>
      </w:r>
      <w:r>
        <w:t xml:space="preserve"> ou l’essor du salariat et des mobilités professionnelles liées à l’</w:t>
      </w:r>
      <w:r w:rsidR="000C1035">
        <w:t>exploitation</w:t>
      </w:r>
      <w:r>
        <w:t xml:space="preserve"> des mines de Makatea</w:t>
      </w:r>
      <w:r w:rsidR="009D2C38">
        <w:rPr>
          <w:rStyle w:val="Appelnotedebasdep"/>
        </w:rPr>
        <w:footnoteReference w:id="20"/>
      </w:r>
      <w:r w:rsidR="003F47FC">
        <w:t xml:space="preserve">. </w:t>
      </w:r>
    </w:p>
    <w:p w14:paraId="7B9CEC3B" w14:textId="37BE8B23" w:rsidR="003F47FC" w:rsidRDefault="003F47FC" w:rsidP="00E02627">
      <w:pPr>
        <w:spacing w:after="0"/>
        <w:ind w:firstLine="708"/>
      </w:pPr>
      <w:r>
        <w:t xml:space="preserve">Les circulations </w:t>
      </w:r>
      <w:r w:rsidR="0008015C">
        <w:t>s’imposent</w:t>
      </w:r>
      <w:r>
        <w:t xml:space="preserve"> comme une entrée pertinente pour mieux comprendre les héritages du CEP et rompre avec une approche caricaturale des changements associés à cette période, sans pour autant les minimiser. Le fait même de parler de circulations autorise un renouvellement du propos scientifique. On évoque souvent en sciences humaines un « </w:t>
      </w:r>
      <w:proofErr w:type="spellStart"/>
      <w:r w:rsidRPr="006C06F6">
        <w:rPr>
          <w:i/>
          <w:iCs/>
        </w:rPr>
        <w:t>mobility</w:t>
      </w:r>
      <w:proofErr w:type="spellEnd"/>
      <w:r w:rsidRPr="006C06F6">
        <w:rPr>
          <w:i/>
          <w:iCs/>
        </w:rPr>
        <w:t xml:space="preserve"> </w:t>
      </w:r>
      <w:proofErr w:type="spellStart"/>
      <w:r w:rsidRPr="006C06F6">
        <w:rPr>
          <w:i/>
          <w:iCs/>
        </w:rPr>
        <w:t>turn</w:t>
      </w:r>
      <w:proofErr w:type="spellEnd"/>
      <w:r w:rsidRPr="006C06F6">
        <w:rPr>
          <w:i/>
          <w:iCs/>
        </w:rPr>
        <w:t> </w:t>
      </w:r>
      <w:r>
        <w:t xml:space="preserve">» opéré à partir des années 2000, ayant permis de remettre en cause une approche fixiste / figée des phénomènes sociaux. Au sein de ce </w:t>
      </w:r>
      <w:proofErr w:type="spellStart"/>
      <w:r w:rsidRPr="006C06F6">
        <w:rPr>
          <w:i/>
          <w:iCs/>
        </w:rPr>
        <w:t>mobility</w:t>
      </w:r>
      <w:proofErr w:type="spellEnd"/>
      <w:r w:rsidRPr="006C06F6">
        <w:rPr>
          <w:i/>
          <w:iCs/>
        </w:rPr>
        <w:t xml:space="preserve"> </w:t>
      </w:r>
      <w:proofErr w:type="spellStart"/>
      <w:r w:rsidRPr="006C06F6">
        <w:rPr>
          <w:i/>
          <w:iCs/>
        </w:rPr>
        <w:t>turn</w:t>
      </w:r>
      <w:proofErr w:type="spellEnd"/>
      <w:r>
        <w:t>, l’approche circulatoire a été développée pour succéder à l’approche migratoire et à la notion de transferts, lesquelles n’envisagent que des flux linéaires et unidirectionnels, entre un point A et un point B, ne permettant pas de penser le maintien de liens avec le territoire d’origine et surtout la mise en œuvre de schémas de mobilités plus complexes faisant intervenir d’autres territoires, des effets retours, ou encore des allers et venues</w:t>
      </w:r>
      <w:r w:rsidR="009D2C38">
        <w:rPr>
          <w:rStyle w:val="Appelnotedebasdep"/>
        </w:rPr>
        <w:footnoteReference w:id="21"/>
      </w:r>
      <w:r>
        <w:t xml:space="preserve">. Cette approche des flux a été critiquée en ce qu’elle favorise des formes de dramatisation : des inquiétudes concernant les capacités d’absorption du territoire dit d’accueil, une crainte du déracinement, etc.  </w:t>
      </w:r>
    </w:p>
    <w:p w14:paraId="4E1F86E6" w14:textId="2AF5E35D" w:rsidR="003F47FC" w:rsidRDefault="003F47FC" w:rsidP="00E02627">
      <w:pPr>
        <w:spacing w:after="0"/>
      </w:pPr>
      <w:r>
        <w:t xml:space="preserve">Concernant les </w:t>
      </w:r>
      <w:r w:rsidR="00E6728B">
        <w:t>circulations</w:t>
      </w:r>
      <w:r>
        <w:t xml:space="preserve"> associé</w:t>
      </w:r>
      <w:r w:rsidR="00E6728B">
        <w:t>e</w:t>
      </w:r>
      <w:r>
        <w:t>s au CEP on retrouve cette même tendance à se focaliser sur deux territoires et à envisager surtout les transferts dans un sens, vertical, comme une projection de la France continentale sur la Polynésie française. Notons à ce sujet que les déplacements de personnels européens sont dès le départ conçus pour être réversibles, opérés pour des durées déterminées. En revanche, l’approche migratoire est appliquée, à une autre échelle, aux déplacements internes à la Polynésie française. Le modèle de l’exode rural y est par exemple transposé sans être questionné, et directement imputé au CEP. De rares scientifiques fournissent une analyse plus nuancée de ces mobilités, tenant compte des retours (mais ceux-ci sont alors souvent considérés comme les conséquences des projets de développement initiés dans certaines îles)</w:t>
      </w:r>
      <w:r w:rsidR="009D2C38" w:rsidRPr="009D2C38">
        <w:t xml:space="preserve"> </w:t>
      </w:r>
      <w:r w:rsidR="009D2C38">
        <w:t xml:space="preserve">), occultant une </w:t>
      </w:r>
      <w:proofErr w:type="spellStart"/>
      <w:r w:rsidR="009D2C38">
        <w:t>agency</w:t>
      </w:r>
      <w:proofErr w:type="spellEnd"/>
      <w:r w:rsidR="009D2C38">
        <w:t xml:space="preserve"> plus complexe des populations polynésiennes concernées par ces mobilités, à la faveur de l’application d’un simple modèle « push/pull »</w:t>
      </w:r>
      <w:r>
        <w:t xml:space="preserve">. Les transferts scientifiques, technologiques mais surtout les flux de matériaux et autres biens de consommation apparaissent comme le pendant des essais, qui, tout en étant déplorés pour leurs effets, restent associés à l’idée flatteuse d’une modernisation, comme nouveau nom de la mission </w:t>
      </w:r>
      <w:r w:rsidR="00E6728B">
        <w:t xml:space="preserve">civilisatrice qui n’est cependant </w:t>
      </w:r>
      <w:r>
        <w:t>plus pensée comme un devoir mais comme inéluctable et malgré tout souhaitable afin de ne pas prendre de retard</w:t>
      </w:r>
      <w:r w:rsidR="00E6728B">
        <w:t xml:space="preserve">. </w:t>
      </w:r>
    </w:p>
    <w:p w14:paraId="180E5312" w14:textId="77777777" w:rsidR="003312D2" w:rsidRDefault="003312D2" w:rsidP="003312D2">
      <w:pPr>
        <w:pStyle w:val="Titre2"/>
      </w:pPr>
    </w:p>
    <w:p w14:paraId="10428202" w14:textId="5719E90C" w:rsidR="003F47FC" w:rsidRDefault="003F47FC" w:rsidP="003312D2">
      <w:pPr>
        <w:pStyle w:val="Titre2"/>
      </w:pPr>
      <w:r>
        <w:t xml:space="preserve">4 types de circulations envisagées : </w:t>
      </w:r>
    </w:p>
    <w:p w14:paraId="5DDDA7D4" w14:textId="77777777" w:rsidR="00540D49" w:rsidRPr="00540D49" w:rsidRDefault="00540D49" w:rsidP="00540D49"/>
    <w:p w14:paraId="6282393A" w14:textId="1CB51D4F" w:rsidR="003F47FC" w:rsidRDefault="003F47FC" w:rsidP="003F47FC">
      <w:pPr>
        <w:pStyle w:val="Paragraphedeliste"/>
        <w:numPr>
          <w:ilvl w:val="0"/>
          <w:numId w:val="5"/>
        </w:numPr>
      </w:pPr>
      <w:r>
        <w:t>Familles polynésiennes</w:t>
      </w:r>
      <w:r w:rsidR="0008015C">
        <w:t>,</w:t>
      </w:r>
      <w:r>
        <w:t xml:space="preserve">  de l’échelle de l’individu à celle du groupe familial. </w:t>
      </w:r>
      <w:r w:rsidR="0008015C">
        <w:t>Il s’agit</w:t>
      </w:r>
      <w:r>
        <w:t xml:space="preserve"> de </w:t>
      </w:r>
      <w:r w:rsidR="0008015C">
        <w:t>reconstituer</w:t>
      </w:r>
      <w:r>
        <w:t xml:space="preserve"> sur plusieurs territoires, des choix de localisation correspondant aux différentes étapes de la vie, marqués par des allers-retours. </w:t>
      </w:r>
    </w:p>
    <w:p w14:paraId="711E9B87" w14:textId="08051CC1" w:rsidR="006A235A" w:rsidRDefault="003F47FC" w:rsidP="006A235A">
      <w:pPr>
        <w:pStyle w:val="Paragraphedeliste"/>
        <w:numPr>
          <w:ilvl w:val="0"/>
          <w:numId w:val="5"/>
        </w:numPr>
      </w:pPr>
      <w:r>
        <w:t xml:space="preserve">Vivant non humain : </w:t>
      </w:r>
      <w:r w:rsidR="006628EF">
        <w:t>les circulations directement ou indirectement induites par le CEP touchent également le reste du monde du vivant.</w:t>
      </w:r>
      <w:r w:rsidR="006A235A">
        <w:t xml:space="preserve"> La circulation des espèces peut s’inscrire dans un contexte plus large d’intégration progressive de la Polynésie dans un espace </w:t>
      </w:r>
      <w:r w:rsidR="006A235A">
        <w:lastRenderedPageBreak/>
        <w:t>mondialisé. S’il ne faut pas attendre le CEP pour que les animaux circulent au sein de l’espace polynésien, il s’agit de considérer la part jouée directement par les essais nucléaires dans ces circulations.</w:t>
      </w:r>
    </w:p>
    <w:p w14:paraId="2A454320" w14:textId="0963658C" w:rsidR="009D6F53" w:rsidRDefault="009D6F53" w:rsidP="00F04322">
      <w:pPr>
        <w:pStyle w:val="Paragraphedeliste"/>
        <w:numPr>
          <w:ilvl w:val="0"/>
          <w:numId w:val="5"/>
        </w:numPr>
      </w:pPr>
      <w:r>
        <w:t>Système technique et productif</w:t>
      </w:r>
      <w:r w:rsidR="00AA1584">
        <w:t> :</w:t>
      </w:r>
      <w:r w:rsidR="00AA1584" w:rsidRPr="00AA1584">
        <w:rPr>
          <w:color w:val="000000" w:themeColor="text1"/>
        </w:rPr>
        <w:t xml:space="preserve"> l’accélération et l’amplification de flux de matériaux, de biens manufacturés et de capitaux </w:t>
      </w:r>
      <w:r w:rsidR="006628EF">
        <w:rPr>
          <w:color w:val="000000" w:themeColor="text1"/>
        </w:rPr>
        <w:t>ne se réduit pas au schéma</w:t>
      </w:r>
      <w:r w:rsidR="00AA1584" w:rsidRPr="00AA1584">
        <w:rPr>
          <w:color w:val="000000" w:themeColor="text1"/>
        </w:rPr>
        <w:t xml:space="preserve"> diffusionniste (l’Europe exporte, la Polynésie reçoit)</w:t>
      </w:r>
      <w:r w:rsidR="006628EF">
        <w:rPr>
          <w:color w:val="000000" w:themeColor="text1"/>
        </w:rPr>
        <w:t> : il s’agit de considérer</w:t>
      </w:r>
      <w:r w:rsidR="00AA1584" w:rsidRPr="00AA1584">
        <w:rPr>
          <w:color w:val="000000" w:themeColor="text1"/>
        </w:rPr>
        <w:t xml:space="preserve"> le jeu des acteurs locaux, les </w:t>
      </w:r>
      <w:r w:rsidR="006C06F6" w:rsidRPr="00AA1584">
        <w:rPr>
          <w:color w:val="000000" w:themeColor="text1"/>
        </w:rPr>
        <w:t>accommodements</w:t>
      </w:r>
      <w:r w:rsidR="00AA1584" w:rsidRPr="00AA1584">
        <w:rPr>
          <w:color w:val="000000" w:themeColor="text1"/>
        </w:rPr>
        <w:t xml:space="preserve"> et/ou les résistances, l’insertion dans des </w:t>
      </w:r>
      <w:proofErr w:type="gramStart"/>
      <w:r w:rsidR="00AA1584" w:rsidRPr="00AA1584">
        <w:rPr>
          <w:color w:val="000000" w:themeColor="text1"/>
        </w:rPr>
        <w:t>flux  spécifiques</w:t>
      </w:r>
      <w:proofErr w:type="gramEnd"/>
      <w:r w:rsidR="00AA1584" w:rsidRPr="00AA1584">
        <w:rPr>
          <w:color w:val="000000" w:themeColor="text1"/>
        </w:rPr>
        <w:t xml:space="preserve"> à l’échelle Pacifique</w:t>
      </w:r>
      <w:r w:rsidR="00F04322">
        <w:rPr>
          <w:color w:val="000000" w:themeColor="text1"/>
        </w:rPr>
        <w:t>.</w:t>
      </w:r>
    </w:p>
    <w:p w14:paraId="48D0A15C" w14:textId="141DFCE3" w:rsidR="009D6F53" w:rsidRDefault="009D6F53" w:rsidP="003F47FC">
      <w:pPr>
        <w:pStyle w:val="Paragraphedeliste"/>
        <w:numPr>
          <w:ilvl w:val="0"/>
          <w:numId w:val="5"/>
        </w:numPr>
      </w:pPr>
      <w:r>
        <w:t>Idées, savoirs et croyances</w:t>
      </w:r>
      <w:r w:rsidR="00501D9D">
        <w:t> : quelle</w:t>
      </w:r>
      <w:r w:rsidR="00144C5C">
        <w:t>s</w:t>
      </w:r>
      <w:r w:rsidR="00501D9D">
        <w:t xml:space="preserve"> relation</w:t>
      </w:r>
      <w:r w:rsidR="00144C5C">
        <w:t>s</w:t>
      </w:r>
      <w:r w:rsidR="00501D9D">
        <w:t xml:space="preserve"> entre le projet modernisateur porté par le CEP et les </w:t>
      </w:r>
      <w:r w:rsidR="006C06F6">
        <w:t>renaissances</w:t>
      </w:r>
      <w:r w:rsidR="00501D9D">
        <w:t xml:space="preserve"> culturelles ; quelles mises en réseaux des luttes contre la nucléarisation du Pacifique, d’un site l’autre ?</w:t>
      </w:r>
    </w:p>
    <w:p w14:paraId="3BE377BE" w14:textId="77777777" w:rsidR="003F47FC" w:rsidRDefault="003F47FC" w:rsidP="003F47FC"/>
    <w:p w14:paraId="06DDC78C" w14:textId="78659570" w:rsidR="00BA6716" w:rsidRDefault="003312D2" w:rsidP="0008015C">
      <w:pPr>
        <w:pStyle w:val="Titre3"/>
      </w:pPr>
      <w:r w:rsidRPr="004A6DC9">
        <w:t>Vers une famille nucléarisée ?</w:t>
      </w:r>
    </w:p>
    <w:p w14:paraId="3CB9ED13" w14:textId="631D5998" w:rsidR="0008015C" w:rsidRDefault="004A6EAB" w:rsidP="0008015C">
      <w:pPr>
        <w:spacing w:after="0"/>
        <w:ind w:firstLine="708"/>
      </w:pPr>
      <w:r>
        <w:t>Amorcée dans l’immédiat après-guerre, la t</w:t>
      </w:r>
      <w:r w:rsidR="004D40A9">
        <w:t>ransition démographique</w:t>
      </w:r>
      <w:r>
        <w:t xml:space="preserve"> entraîne une b</w:t>
      </w:r>
      <w:r w:rsidR="00BA6716">
        <w:t>aisse de la fécondité pendant toute la période du CEP</w:t>
      </w:r>
      <w:r w:rsidR="00D334C7">
        <w:t> : l'indice synthétique de fécondité (nombre d’enfants nés vivants par femme) passe de 6,32 en 1959-1963 à 3,78 en 1982-1983</w:t>
      </w:r>
      <w:r w:rsidR="009D2C38">
        <w:rPr>
          <w:rStyle w:val="Appelnotedebasdep"/>
        </w:rPr>
        <w:footnoteReference w:id="22"/>
      </w:r>
      <w:r w:rsidR="00D334C7">
        <w:t>, contre 1,70 en 2020</w:t>
      </w:r>
      <w:r w:rsidR="009D2C38">
        <w:rPr>
          <w:rStyle w:val="Appelnotedebasdep"/>
        </w:rPr>
        <w:footnoteReference w:id="23"/>
      </w:r>
      <w:r w:rsidR="009D2C38">
        <w:t>.</w:t>
      </w:r>
    </w:p>
    <w:p w14:paraId="7D662053" w14:textId="14DB50DD" w:rsidR="00407C05" w:rsidRDefault="00BA6716" w:rsidP="0008015C">
      <w:pPr>
        <w:spacing w:after="0"/>
        <w:ind w:firstLine="708"/>
      </w:pPr>
      <w:r>
        <w:t>Pour autant</w:t>
      </w:r>
      <w:r w:rsidR="009174FC">
        <w:t>,</w:t>
      </w:r>
      <w:r>
        <w:t xml:space="preserve"> </w:t>
      </w:r>
      <w:r w:rsidR="00407C05">
        <w:t xml:space="preserve">on assiste au </w:t>
      </w:r>
      <w:r>
        <w:t xml:space="preserve">maintien de ménages complexes </w:t>
      </w:r>
      <w:r w:rsidR="003F15C1">
        <w:t>dans une proportion élevé</w:t>
      </w:r>
      <w:r w:rsidR="00407C05">
        <w:t>e</w:t>
      </w:r>
      <w:r w:rsidR="003F15C1">
        <w:t xml:space="preserve"> (un quart des ménages en 2017) </w:t>
      </w:r>
      <w:r>
        <w:t>en parallèle de l’essor des ménages nucléaires.</w:t>
      </w:r>
      <w:r w:rsidR="00311AD6">
        <w:t xml:space="preserve"> </w:t>
      </w:r>
      <w:r w:rsidR="00407C05">
        <w:t>Les travaux menés au sein de l’ANR Atolls</w:t>
      </w:r>
      <w:r w:rsidR="00D334C7">
        <w:t xml:space="preserve"> (</w:t>
      </w:r>
      <w:r w:rsidR="00D334C7">
        <w:rPr>
          <w:i/>
          <w:iCs/>
        </w:rPr>
        <w:t xml:space="preserve">op. </w:t>
      </w:r>
      <w:proofErr w:type="spellStart"/>
      <w:proofErr w:type="gramStart"/>
      <w:r w:rsidR="00D334C7">
        <w:rPr>
          <w:i/>
          <w:iCs/>
        </w:rPr>
        <w:t>cit</w:t>
      </w:r>
      <w:proofErr w:type="spellEnd"/>
      <w:proofErr w:type="gramEnd"/>
      <w:r w:rsidR="00D334C7">
        <w:rPr>
          <w:i/>
          <w:iCs/>
        </w:rPr>
        <w:t>.)</w:t>
      </w:r>
      <w:r w:rsidR="00407C05">
        <w:t xml:space="preserve"> invitent déjà à ne pas considérer ce schéma familial comme une survivance, les facteurs favorisant sa reproduction se renouvel</w:t>
      </w:r>
      <w:r w:rsidR="00AD5273">
        <w:t>a</w:t>
      </w:r>
      <w:r w:rsidR="00407C05">
        <w:t xml:space="preserve">nt plus qu’ils ne s’érodent. </w:t>
      </w:r>
      <w:r w:rsidR="00AD5273">
        <w:t xml:space="preserve">À partir de la distinction entre deux étapes de changements des modèles familiaux en lien avec la transition démographique (essor du modèle </w:t>
      </w:r>
      <w:proofErr w:type="spellStart"/>
      <w:r w:rsidR="00AD5273">
        <w:t>conjugual</w:t>
      </w:r>
      <w:proofErr w:type="spellEnd"/>
      <w:r w:rsidR="00D334C7">
        <w:t xml:space="preserve"> puis</w:t>
      </w:r>
      <w:r w:rsidR="00AD5273">
        <w:t xml:space="preserve"> remise en cause du couple hétérosexuel), c</w:t>
      </w:r>
      <w:r w:rsidR="00407C05">
        <w:t>ette équipe de chercheurs et chercheuses identifient alors un lien entre le maintien actuel d’un niveau élevé de circulations (des enfants notamment) et la reproduction de schémas familiaux dits « complexes »</w:t>
      </w:r>
      <w:r w:rsidR="00AD5273">
        <w:t xml:space="preserve">.  </w:t>
      </w:r>
    </w:p>
    <w:p w14:paraId="0A3495EA" w14:textId="77777777" w:rsidR="00711BA1" w:rsidRDefault="00407C05" w:rsidP="0008015C">
      <w:pPr>
        <w:spacing w:after="0"/>
        <w:ind w:firstLine="708"/>
      </w:pPr>
      <w:r>
        <w:t xml:space="preserve">Concernant la période du CEP, nous </w:t>
      </w:r>
      <w:r w:rsidR="00AD5273">
        <w:t>faisons l’hypothèse d’</w:t>
      </w:r>
      <w:r>
        <w:t>un lien quasi inverse</w:t>
      </w:r>
      <w:r w:rsidR="00AD5273">
        <w:t>. C</w:t>
      </w:r>
      <w:r w:rsidR="005457E4">
        <w:t xml:space="preserve">eci n’est </w:t>
      </w:r>
      <w:r w:rsidR="00AD5273">
        <w:t>cependant pas</w:t>
      </w:r>
      <w:r w:rsidR="005457E4">
        <w:t xml:space="preserve"> contradictoire.</w:t>
      </w:r>
      <w:r>
        <w:t xml:space="preserve"> </w:t>
      </w:r>
      <w:r w:rsidR="005457E4">
        <w:t xml:space="preserve">En effet, le fait de se focaliser sur cette période revient à s’intéresser à la première étape de la transition démographique, une période marquée par la progression du modèle nucléaire. </w:t>
      </w:r>
    </w:p>
    <w:p w14:paraId="5E05C4EC" w14:textId="54B7F5A5" w:rsidR="00BA6716" w:rsidRDefault="00311AD6" w:rsidP="0008015C">
      <w:pPr>
        <w:spacing w:after="0"/>
        <w:ind w:firstLine="708"/>
      </w:pPr>
      <w:r>
        <w:t>Pour</w:t>
      </w:r>
      <w:r w:rsidR="009174FC">
        <w:t xml:space="preserve"> les ménages</w:t>
      </w:r>
      <w:r w:rsidR="00D334C7">
        <w:t xml:space="preserve"> </w:t>
      </w:r>
      <w:r w:rsidR="00AD5273">
        <w:t>dont l’un des membres est concerné par l’emploi au CEP</w:t>
      </w:r>
      <w:r w:rsidR="00D334C7">
        <w:t xml:space="preserve"> et</w:t>
      </w:r>
      <w:r w:rsidR="009174FC">
        <w:t xml:space="preserve"> qui </w:t>
      </w:r>
      <w:r w:rsidR="005457E4">
        <w:t xml:space="preserve">développent un ancrage </w:t>
      </w:r>
      <w:r w:rsidR="00866803">
        <w:t xml:space="preserve">résidentiel </w:t>
      </w:r>
      <w:r w:rsidR="009174FC">
        <w:t xml:space="preserve">à Tahiti ou </w:t>
      </w:r>
      <w:proofErr w:type="spellStart"/>
      <w:r w:rsidR="009174FC">
        <w:t>Hao</w:t>
      </w:r>
      <w:proofErr w:type="spellEnd"/>
      <w:r w:rsidR="00D334C7">
        <w:t>,</w:t>
      </w:r>
      <w:r w:rsidR="00AD5273">
        <w:t xml:space="preserve"> sans être originaires de l’île (ménages souvent assimilés </w:t>
      </w:r>
      <w:r w:rsidR="00711BA1">
        <w:t xml:space="preserve">dans le premier cas </w:t>
      </w:r>
      <w:r w:rsidR="00AD5273">
        <w:t>à la thématique de l’exode rural)</w:t>
      </w:r>
      <w:r w:rsidR="009174FC">
        <w:t xml:space="preserve">, cette mobilité </w:t>
      </w:r>
      <w:r w:rsidR="00711BA1">
        <w:t>peut signifier</w:t>
      </w:r>
      <w:r w:rsidR="009174FC">
        <w:t xml:space="preserve"> l’éloignement </w:t>
      </w:r>
      <w:r w:rsidR="00BA6716">
        <w:t xml:space="preserve">des </w:t>
      </w:r>
      <w:proofErr w:type="spellStart"/>
      <w:r w:rsidR="00BA6716">
        <w:t>ascendant</w:t>
      </w:r>
      <w:r w:rsidR="00711BA1">
        <w:t>.</w:t>
      </w:r>
      <w:proofErr w:type="gramStart"/>
      <w:r w:rsidR="00711BA1">
        <w:t>e.</w:t>
      </w:r>
      <w:r w:rsidR="00BA6716">
        <w:t>s</w:t>
      </w:r>
      <w:proofErr w:type="spellEnd"/>
      <w:proofErr w:type="gramEnd"/>
      <w:r w:rsidR="00BA6716">
        <w:t xml:space="preserve"> </w:t>
      </w:r>
      <w:r w:rsidR="009174FC">
        <w:t xml:space="preserve">et donc de fait le rapprochement avec un modèle familial nucléaire. </w:t>
      </w:r>
      <w:r>
        <w:t xml:space="preserve">Mais cette transition n’est sans doute pas aussi linéaire qu’il n’y paraît : la circulation des </w:t>
      </w:r>
      <w:proofErr w:type="spellStart"/>
      <w:r>
        <w:t>ascendant</w:t>
      </w:r>
      <w:r w:rsidR="00D334C7">
        <w:t>.</w:t>
      </w:r>
      <w:proofErr w:type="gramStart"/>
      <w:r w:rsidR="00D334C7">
        <w:t>e.</w:t>
      </w:r>
      <w:r>
        <w:t>s</w:t>
      </w:r>
      <w:proofErr w:type="spellEnd"/>
      <w:proofErr w:type="gramEnd"/>
      <w:r>
        <w:t xml:space="preserve"> existe</w:t>
      </w:r>
      <w:r w:rsidR="00AD5273">
        <w:t>,</w:t>
      </w:r>
      <w:r>
        <w:t xml:space="preserve"> </w:t>
      </w:r>
      <w:r w:rsidR="00711BA1">
        <w:t xml:space="preserve">parfois </w:t>
      </w:r>
      <w:r w:rsidR="00866803">
        <w:t xml:space="preserve">ce sont </w:t>
      </w:r>
      <w:proofErr w:type="spellStart"/>
      <w:r w:rsidR="00866803">
        <w:t>elles.eux</w:t>
      </w:r>
      <w:proofErr w:type="spellEnd"/>
      <w:r w:rsidR="00866803">
        <w:t xml:space="preserve"> qui s’implantent en premier</w:t>
      </w:r>
      <w:r w:rsidR="00D334C7">
        <w:t xml:space="preserve"> à Tahiti</w:t>
      </w:r>
      <w:r w:rsidR="00866803">
        <w:t>,</w:t>
      </w:r>
      <w:r w:rsidR="00711BA1">
        <w:t xml:space="preserve"> les </w:t>
      </w:r>
      <w:proofErr w:type="spellStart"/>
      <w:r w:rsidR="00711BA1">
        <w:t>travailleur</w:t>
      </w:r>
      <w:r w:rsidR="00D334C7">
        <w:t>.euse.</w:t>
      </w:r>
      <w:r w:rsidR="00711BA1">
        <w:t>s</w:t>
      </w:r>
      <w:proofErr w:type="spellEnd"/>
      <w:r w:rsidR="00866803">
        <w:t xml:space="preserve"> du CEP</w:t>
      </w:r>
      <w:r w:rsidR="00711BA1">
        <w:t xml:space="preserve"> </w:t>
      </w:r>
      <w:r w:rsidR="00866803">
        <w:t xml:space="preserve">se faisant </w:t>
      </w:r>
      <w:r w:rsidR="00D97B3D">
        <w:t xml:space="preserve">ensuite </w:t>
      </w:r>
      <w:proofErr w:type="spellStart"/>
      <w:r w:rsidR="00866803">
        <w:t>embauché.e.s</w:t>
      </w:r>
      <w:proofErr w:type="spellEnd"/>
      <w:r w:rsidR="00866803">
        <w:t xml:space="preserve"> directement à partir de cette île</w:t>
      </w:r>
      <w:r w:rsidR="00D97B3D">
        <w:t>, ce qui signifie que</w:t>
      </w:r>
      <w:r w:rsidR="00A508A0">
        <w:t xml:space="preserve"> le modèle de famille complexe </w:t>
      </w:r>
      <w:r w:rsidR="00D97B3D">
        <w:t>peut</w:t>
      </w:r>
      <w:r w:rsidR="00A508A0">
        <w:t xml:space="preserve"> dès lors se reproduire</w:t>
      </w:r>
      <w:r w:rsidR="00D97B3D">
        <w:t xml:space="preserve"> sur place, à Tahiti</w:t>
      </w:r>
      <w:r w:rsidR="00A508A0">
        <w:t>, au moins temporairement</w:t>
      </w:r>
      <w:r w:rsidR="00711BA1">
        <w:t>. D</w:t>
      </w:r>
      <w:r>
        <w:t>e même</w:t>
      </w:r>
      <w:r w:rsidR="00711BA1">
        <w:t xml:space="preserve">, la circulation des </w:t>
      </w:r>
      <w:r>
        <w:t xml:space="preserve">descendants </w:t>
      </w:r>
      <w:r w:rsidR="00711BA1">
        <w:t xml:space="preserve">entre les différents ménages qui composent la famille élargie, pour des périodes plus ou moins longues, amène à questionner la pertinence d’une approche </w:t>
      </w:r>
      <w:r w:rsidR="00F33D3B">
        <w:t>de la famille à partir du</w:t>
      </w:r>
      <w:r w:rsidR="00711BA1">
        <w:t xml:space="preserve"> </w:t>
      </w:r>
      <w:r w:rsidR="00A508A0">
        <w:t xml:space="preserve">seul </w:t>
      </w:r>
      <w:r w:rsidR="00711BA1">
        <w:t>lieu de résidence (une approche contenue dans la notion même de « ménage »)</w:t>
      </w:r>
      <w:r>
        <w:t>.</w:t>
      </w:r>
      <w:r w:rsidR="00A508A0">
        <w:t xml:space="preserve"> Ceci invite enfin à inclure dans le raisonnement non seulement la circulation des enfants mais aussi celle des parents ou du couple parental entre Tahiti </w:t>
      </w:r>
      <w:r w:rsidR="00A508A0">
        <w:lastRenderedPageBreak/>
        <w:t xml:space="preserve">et les autres îles du territoire, en fonction </w:t>
      </w:r>
      <w:r w:rsidR="00070D77">
        <w:t xml:space="preserve">des </w:t>
      </w:r>
      <w:r w:rsidR="00A508A0">
        <w:t xml:space="preserve">étapes de la vie (« retour » dans l’île au moment de la retraite, après la fin du contrat au CEP, etc.), cette circulation pouvant viser justement la reconstitution / le rassemblement du groupe familial élargi. </w:t>
      </w:r>
      <w:r>
        <w:t xml:space="preserve"> </w:t>
      </w:r>
    </w:p>
    <w:p w14:paraId="47E58641" w14:textId="054FAB0B" w:rsidR="005457E4" w:rsidRDefault="00A508A0" w:rsidP="0008015C">
      <w:pPr>
        <w:spacing w:after="0"/>
        <w:ind w:firstLine="708"/>
      </w:pPr>
      <w:r w:rsidRPr="0008015C">
        <w:rPr>
          <w:i/>
          <w:iCs/>
        </w:rPr>
        <w:t>A contrario</w:t>
      </w:r>
      <w:r>
        <w:t>, l</w:t>
      </w:r>
      <w:r w:rsidR="00AD5273">
        <w:t>’é</w:t>
      </w:r>
      <w:r w:rsidR="005457E4">
        <w:t>loignement des pères</w:t>
      </w:r>
      <w:r w:rsidR="00AD5273">
        <w:t xml:space="preserve">, qui partent travailler à Moruroa, Fangataufa, </w:t>
      </w:r>
      <w:proofErr w:type="spellStart"/>
      <w:r w:rsidR="00AD5273">
        <w:t>Hao</w:t>
      </w:r>
      <w:proofErr w:type="spellEnd"/>
      <w:r w:rsidR="00AD5273">
        <w:t xml:space="preserve"> (ou même </w:t>
      </w:r>
      <w:r w:rsidR="00CC172E">
        <w:t>Tahiti),</w:t>
      </w:r>
      <w:r w:rsidR="005457E4">
        <w:t xml:space="preserve"> favorise des fonctionnements qui se rapprochent des modèles familiaux monoparentaux</w:t>
      </w:r>
      <w:r w:rsidR="00711BA1">
        <w:t xml:space="preserve"> (deuxième phase des changements familiaux associés à la transition démographique : remise en cause du couple hétérosexuel)</w:t>
      </w:r>
      <w:r w:rsidR="005457E4">
        <w:t xml:space="preserve">. Cet éloignement est également régulièrement considéré comme un facteur de séparations, lié aussi parfois à des relations et des naissances extraconjugales. </w:t>
      </w:r>
      <w:r w:rsidR="00CC172E">
        <w:t>Le c</w:t>
      </w:r>
      <w:r w:rsidR="005457E4">
        <w:t xml:space="preserve">élibat d’une partie des travailleurs du CEP, </w:t>
      </w:r>
      <w:r w:rsidR="00CC172E">
        <w:t xml:space="preserve">s’il apparaît </w:t>
      </w:r>
      <w:r w:rsidR="005457E4">
        <w:t xml:space="preserve">associé à un stigmate social, </w:t>
      </w:r>
      <w:r w:rsidR="00CC172E">
        <w:t xml:space="preserve">ne </w:t>
      </w:r>
      <w:r w:rsidR="005457E4">
        <w:t xml:space="preserve">semble </w:t>
      </w:r>
      <w:r w:rsidR="00CC172E">
        <w:t xml:space="preserve">pas </w:t>
      </w:r>
      <w:r w:rsidR="005457E4">
        <w:t xml:space="preserve">avoir été </w:t>
      </w:r>
      <w:r w:rsidR="00CC172E">
        <w:t xml:space="preserve">si </w:t>
      </w:r>
      <w:r w:rsidR="005457E4">
        <w:t>marginal notamment en ce qui concerne les longues carrières.</w:t>
      </w:r>
      <w:r w:rsidR="004A6EAB">
        <w:t xml:space="preserve"> Une </w:t>
      </w:r>
      <w:r w:rsidR="00F33D3B">
        <w:t xml:space="preserve">première </w:t>
      </w:r>
      <w:r w:rsidR="004A6EAB">
        <w:t xml:space="preserve">entrée possible pourrait ainsi consister à s’interroger sur la </w:t>
      </w:r>
      <w:r w:rsidR="00F33D3B">
        <w:t>façon dont</w:t>
      </w:r>
      <w:r w:rsidR="004A6EAB">
        <w:t xml:space="preserve"> les travailleurs et travailleuses du CEP</w:t>
      </w:r>
      <w:r w:rsidR="00F33D3B">
        <w:t>, du fait de leurs circulations,</w:t>
      </w:r>
      <w:r w:rsidR="004A6EAB">
        <w:t xml:space="preserve"> </w:t>
      </w:r>
      <w:r w:rsidR="00F33D3B">
        <w:t>ont</w:t>
      </w:r>
      <w:r w:rsidR="004A6EAB">
        <w:t xml:space="preserve"> pu être</w:t>
      </w:r>
      <w:r w:rsidR="00183373">
        <w:t xml:space="preserve"> ou non</w:t>
      </w:r>
      <w:r w:rsidR="004A6EAB">
        <w:t xml:space="preserve"> aux avant-postes des transformations</w:t>
      </w:r>
      <w:r w:rsidR="00F33D3B">
        <w:t xml:space="preserve"> familiales</w:t>
      </w:r>
      <w:r w:rsidR="004A6EAB">
        <w:t xml:space="preserve"> envisagées. </w:t>
      </w:r>
    </w:p>
    <w:p w14:paraId="10A1B03A" w14:textId="356451F9" w:rsidR="007F458A" w:rsidRDefault="004A6EAB" w:rsidP="0008015C">
      <w:pPr>
        <w:spacing w:after="0"/>
        <w:ind w:firstLine="708"/>
      </w:pPr>
      <w:r>
        <w:t xml:space="preserve">Une </w:t>
      </w:r>
      <w:r w:rsidR="00F33D3B">
        <w:t xml:space="preserve">deuxième </w:t>
      </w:r>
      <w:r>
        <w:t xml:space="preserve">entrée pourrait </w:t>
      </w:r>
      <w:r w:rsidR="00183373">
        <w:t>ensuite viser à</w:t>
      </w:r>
      <w:r w:rsidR="00CC172E">
        <w:t xml:space="preserve"> questionner la manière dont l’a</w:t>
      </w:r>
      <w:r w:rsidR="004D40A9">
        <w:t xml:space="preserve">rrivée sinon massive mais dans des proportions inédites </w:t>
      </w:r>
      <w:proofErr w:type="gramStart"/>
      <w:r w:rsidR="004D40A9">
        <w:t>d’</w:t>
      </w:r>
      <w:proofErr w:type="spellStart"/>
      <w:r w:rsidR="004D40A9">
        <w:t>Européen</w:t>
      </w:r>
      <w:r w:rsidR="00EE1986">
        <w:t>.ne.</w:t>
      </w:r>
      <w:r w:rsidR="004D40A9">
        <w:t>s</w:t>
      </w:r>
      <w:proofErr w:type="spellEnd"/>
      <w:proofErr w:type="gramEnd"/>
      <w:r w:rsidR="00EE1986">
        <w:t xml:space="preserve"> – on passe de 6,6 à 14,4% d’</w:t>
      </w:r>
      <w:proofErr w:type="spellStart"/>
      <w:r w:rsidR="00EE1986">
        <w:t>Européen.ne.s</w:t>
      </w:r>
      <w:proofErr w:type="spellEnd"/>
      <w:r w:rsidR="00EE1986">
        <w:t xml:space="preserve"> dans la population urbaine de Tahiti entre 1962 et 1971</w:t>
      </w:r>
      <w:r w:rsidR="009D2C38">
        <w:rPr>
          <w:rStyle w:val="Appelnotedebasdep"/>
        </w:rPr>
        <w:footnoteReference w:id="24"/>
      </w:r>
      <w:r w:rsidR="009D2C38">
        <w:t>,</w:t>
      </w:r>
      <w:r w:rsidR="00EE1986">
        <w:t xml:space="preserve">sachant que les </w:t>
      </w:r>
      <w:r w:rsidR="009D2C38">
        <w:t>militaires</w:t>
      </w:r>
      <w:r w:rsidR="00EE1986">
        <w:t xml:space="preserve"> </w:t>
      </w:r>
      <w:proofErr w:type="spellStart"/>
      <w:r w:rsidR="00EE1986">
        <w:t>européen.ne.s</w:t>
      </w:r>
      <w:proofErr w:type="spellEnd"/>
      <w:r w:rsidR="00EE1986">
        <w:t xml:space="preserve"> du CEP sont </w:t>
      </w:r>
      <w:proofErr w:type="spellStart"/>
      <w:r w:rsidR="00EE1986">
        <w:t>compté.e.s</w:t>
      </w:r>
      <w:proofErr w:type="spellEnd"/>
      <w:r w:rsidR="00EE1986">
        <w:t xml:space="preserve"> à part – </w:t>
      </w:r>
      <w:r w:rsidR="00D97B3D">
        <w:t xml:space="preserve"> </w:t>
      </w:r>
      <w:r w:rsidR="00CC172E">
        <w:t>a pu jouer un rôle dans l’attractivité du schéma familial nucléaire</w:t>
      </w:r>
      <w:r w:rsidR="004D40A9">
        <w:t>.</w:t>
      </w:r>
      <w:r w:rsidR="00CC172E">
        <w:t xml:space="preserve"> Alors que dans un premier temps, ce sont uniquement des hommes seuls qui sont envoyés en Polynésie française, rapidement, les responsables du CEP changent de politique</w:t>
      </w:r>
      <w:r w:rsidR="000A08DD">
        <w:t xml:space="preserve">. Les travailleurs du CEP (côté armée comme CEA) sont autorisés à faire venir leur famille, l’objectif étant ainsi de réguler les mœurs. Les unions entre </w:t>
      </w:r>
      <w:proofErr w:type="spellStart"/>
      <w:r w:rsidR="000A08DD">
        <w:t>Européen.ne.s</w:t>
      </w:r>
      <w:proofErr w:type="spellEnd"/>
      <w:r w:rsidR="000A08DD">
        <w:t xml:space="preserve"> et </w:t>
      </w:r>
      <w:proofErr w:type="spellStart"/>
      <w:proofErr w:type="gramStart"/>
      <w:r w:rsidR="000A08DD">
        <w:t>Polynésien.ne..</w:t>
      </w:r>
      <w:proofErr w:type="gramEnd"/>
      <w:r w:rsidR="000A08DD">
        <w:t>s</w:t>
      </w:r>
      <w:proofErr w:type="spellEnd"/>
      <w:r w:rsidR="000A08DD">
        <w:t xml:space="preserve"> pourraient également avoir favorisé l’adoption du modèle nucléaire</w:t>
      </w:r>
      <w:r w:rsidR="00711BA1">
        <w:t xml:space="preserve">. Notons que ces unions ont </w:t>
      </w:r>
      <w:r>
        <w:t xml:space="preserve">permis </w:t>
      </w:r>
      <w:r w:rsidR="00711BA1">
        <w:t xml:space="preserve">un ancrage en Polynésie française pour une partie des </w:t>
      </w:r>
      <w:proofErr w:type="spellStart"/>
      <w:r w:rsidR="00711BA1">
        <w:t>Européen.ne.s</w:t>
      </w:r>
      <w:proofErr w:type="spellEnd"/>
      <w:r w:rsidR="00EE1986">
        <w:t xml:space="preserve">, </w:t>
      </w:r>
      <w:r w:rsidR="00070D77">
        <w:t>alors que</w:t>
      </w:r>
      <w:r w:rsidR="00866803">
        <w:t xml:space="preserve"> ceci</w:t>
      </w:r>
      <w:r w:rsidR="00711BA1">
        <w:t xml:space="preserve"> remetta</w:t>
      </w:r>
      <w:r w:rsidR="00866803">
        <w:t>i</w:t>
      </w:r>
      <w:r w:rsidR="00711BA1">
        <w:t>t en cause le caractère transitoire de leur présence</w:t>
      </w:r>
      <w:r>
        <w:t xml:space="preserve"> telle que prévue initialement</w:t>
      </w:r>
      <w:r w:rsidR="00711BA1">
        <w:t xml:space="preserve">. </w:t>
      </w:r>
      <w:r w:rsidR="000A08DD">
        <w:t>Si l’on ajoute à cela le fait que le début du CEP coïncide quasiment avec l’arrivée</w:t>
      </w:r>
      <w:r w:rsidR="00EE1986">
        <w:t xml:space="preserve"> </w:t>
      </w:r>
      <w:r w:rsidR="000A08DD">
        <w:t>des premières travailleuses sociales (assistantes sociales)</w:t>
      </w:r>
      <w:r w:rsidR="00EE1986">
        <w:t xml:space="preserve"> en provenance de France continentale</w:t>
      </w:r>
      <w:r w:rsidR="00866803">
        <w:t xml:space="preserve"> à partir de 1961</w:t>
      </w:r>
      <w:r w:rsidR="000A08DD">
        <w:t>, il semble légitime de s’interroger sur la manière dont ces circulations contribuent</w:t>
      </w:r>
      <w:r w:rsidR="00070D77">
        <w:t>, intentionnellement</w:t>
      </w:r>
      <w:r w:rsidR="00351095">
        <w:t xml:space="preserve"> (au sens de « institutionnellement »)</w:t>
      </w:r>
      <w:r w:rsidR="00070D77">
        <w:t xml:space="preserve"> ou non,</w:t>
      </w:r>
      <w:r w:rsidR="000A08DD">
        <w:t xml:space="preserve"> à l’émergence d’une nouvelle norme familiale qui, on l’aura compris, devient </w:t>
      </w:r>
      <w:r w:rsidR="00EE1986">
        <w:t xml:space="preserve">progressivement </w:t>
      </w:r>
      <w:r w:rsidR="000A08DD">
        <w:t>majoritaire sans être hégémonique</w:t>
      </w:r>
      <w:r w:rsidR="00BA6716">
        <w:t xml:space="preserve">. </w:t>
      </w:r>
    </w:p>
    <w:p w14:paraId="62E9E0E8" w14:textId="2171136B" w:rsidR="006735E8" w:rsidRDefault="00EE1986" w:rsidP="0008015C">
      <w:pPr>
        <w:ind w:firstLine="708"/>
      </w:pPr>
      <w:r>
        <w:t xml:space="preserve">Enfin, la période est également propice à des mutations familiales qui entretiennent des </w:t>
      </w:r>
      <w:r w:rsidR="00B91AC8">
        <w:t>rapports</w:t>
      </w:r>
      <w:r>
        <w:t xml:space="preserve"> encore plus indirects avec le CEP</w:t>
      </w:r>
      <w:r w:rsidR="00866803">
        <w:t xml:space="preserve"> mais restent liées à des circulations plus anciennes</w:t>
      </w:r>
      <w:r>
        <w:t xml:space="preserve">. Alors que l’implantation </w:t>
      </w:r>
      <w:r w:rsidR="00866803">
        <w:t>de sites d’essais nucléaires</w:t>
      </w:r>
      <w:r>
        <w:t xml:space="preserve"> en Polynésie française avait d’abord favorisé, dans un contexte de guerre froide, une méfiance vis-à-vis des populations chinoises (majoritairement hakka) déjà présentes sur le territoire. </w:t>
      </w:r>
      <w:r w:rsidR="00B91AC8">
        <w:t>La naturalisation</w:t>
      </w:r>
      <w:r>
        <w:t xml:space="preserve"> </w:t>
      </w:r>
      <w:r w:rsidR="00B91AC8">
        <w:t xml:space="preserve">par décret de l’ensemble des </w:t>
      </w:r>
      <w:proofErr w:type="spellStart"/>
      <w:r w:rsidR="00B91AC8">
        <w:t>Chinois.e.s</w:t>
      </w:r>
      <w:proofErr w:type="spellEnd"/>
      <w:r w:rsidR="00B91AC8">
        <w:t xml:space="preserve"> de Polynésie française </w:t>
      </w:r>
      <w:r>
        <w:t xml:space="preserve">en </w:t>
      </w:r>
      <w:r w:rsidR="00B91AC8">
        <w:t>1973</w:t>
      </w:r>
      <w:r>
        <w:t xml:space="preserve"> se révèle propice à une convergence des modèles familiaux</w:t>
      </w:r>
      <w:r w:rsidR="00866803">
        <w:t> </w:t>
      </w:r>
      <w:r w:rsidR="00B91AC8">
        <w:t xml:space="preserve">mettant fin à une pratique de « parenté flexible » analysée par </w:t>
      </w:r>
      <w:r w:rsidR="00183373">
        <w:t xml:space="preserve">Anne-Christine </w:t>
      </w:r>
      <w:proofErr w:type="spellStart"/>
      <w:r w:rsidR="00B91AC8">
        <w:t>Trémon</w:t>
      </w:r>
      <w:proofErr w:type="spellEnd"/>
      <w:r w:rsidR="009D2C38">
        <w:rPr>
          <w:rStyle w:val="Appelnotedebasdep"/>
        </w:rPr>
        <w:footnoteReference w:id="25"/>
      </w:r>
      <w:r w:rsidR="00B91AC8">
        <w:t xml:space="preserve"> consistant à ne pas reconnaître l’une des filles du ménage, ou à la faire reconnaître par un ami ou un voisin jouissant de la nationalité française afin de pouvoir acquérir des terrains </w:t>
      </w:r>
      <w:r w:rsidR="00763637">
        <w:t xml:space="preserve">et des patentes commerciales en son nom mais pour le compte de la famille biologique </w:t>
      </w:r>
      <w:r w:rsidR="00D97B3D">
        <w:t>(</w:t>
      </w:r>
      <w:r w:rsidR="00763637">
        <w:t>conservant l’autorité parentale sur l’enfant puis</w:t>
      </w:r>
      <w:r w:rsidR="00183373">
        <w:t xml:space="preserve"> sur</w:t>
      </w:r>
      <w:r w:rsidR="00763637">
        <w:t xml:space="preserve"> la jeune fille</w:t>
      </w:r>
      <w:r w:rsidR="00D97B3D">
        <w:t>)</w:t>
      </w:r>
      <w:r w:rsidR="00763637">
        <w:t>. Cette stratégie permettant de contourner une législation peu favorable n’est plus nécessaire à partir de 1973 et l’on assiste donc à une convergence des modèles de parenté désormais régis</w:t>
      </w:r>
      <w:r w:rsidR="00D97B3D">
        <w:t>,</w:t>
      </w:r>
      <w:r w:rsidR="00763637">
        <w:t xml:space="preserve"> en théorie</w:t>
      </w:r>
      <w:r w:rsidR="00183373">
        <w:t>, pour l’ensemble de la population du territoire,</w:t>
      </w:r>
      <w:r w:rsidR="00763637">
        <w:t xml:space="preserve"> par le code civil, mais butant</w:t>
      </w:r>
      <w:r w:rsidR="00D97B3D">
        <w:t>,</w:t>
      </w:r>
      <w:r w:rsidR="00763637">
        <w:t xml:space="preserve"> en pratique</w:t>
      </w:r>
      <w:r w:rsidR="00D97B3D">
        <w:t>,</w:t>
      </w:r>
      <w:r w:rsidR="00763637">
        <w:t xml:space="preserve"> sur des régimes de transmission du foncier marqués par un pluralisme juridique</w:t>
      </w:r>
      <w:r w:rsidR="00183373">
        <w:t xml:space="preserve"> et </w:t>
      </w:r>
      <w:r w:rsidR="00183373">
        <w:lastRenderedPageBreak/>
        <w:t>culturel</w:t>
      </w:r>
      <w:r w:rsidR="009D2C38">
        <w:rPr>
          <w:rStyle w:val="Appelnotedebasdep"/>
        </w:rPr>
        <w:footnoteReference w:id="26"/>
      </w:r>
      <w:r w:rsidR="00763637">
        <w:t xml:space="preserve">. Là encore il serait intéressant de s’interroger sur le rôle que jouent les circulations abordées dans la redéfinition des </w:t>
      </w:r>
      <w:r w:rsidR="00C63914">
        <w:t>règles</w:t>
      </w:r>
      <w:r w:rsidR="00763637">
        <w:t xml:space="preserve"> de transmissions d’un bien, le foncier, qui entre dans la définition de ce que faire famille </w:t>
      </w:r>
      <w:r w:rsidR="00183373">
        <w:t xml:space="preserve">signifie en Polynésie française. </w:t>
      </w:r>
    </w:p>
    <w:p w14:paraId="74B8CC56" w14:textId="77777777" w:rsidR="006735E8" w:rsidRDefault="006735E8" w:rsidP="006735E8"/>
    <w:p w14:paraId="636D166D" w14:textId="2F74DDD6" w:rsidR="0008015C" w:rsidRPr="0008015C" w:rsidRDefault="003312D2" w:rsidP="0008015C">
      <w:pPr>
        <w:pStyle w:val="Titre3"/>
      </w:pPr>
      <w:r w:rsidRPr="004A6DC9">
        <w:t>Vivant non humain</w:t>
      </w:r>
    </w:p>
    <w:p w14:paraId="3190459C" w14:textId="194D36C7" w:rsidR="00452B4A" w:rsidRPr="00DA7AC5" w:rsidRDefault="00EA716B" w:rsidP="00E02627">
      <w:pPr>
        <w:spacing w:after="0"/>
        <w:ind w:firstLine="708"/>
      </w:pPr>
      <w:r>
        <w:t xml:space="preserve">Les circulations directement ou indirectement induites par le CEP touchent également le reste du monde du vivant. Les humanités environnementales </w:t>
      </w:r>
      <w:r w:rsidR="005A70A5">
        <w:t>ont récemment proposé à la communauté scientifique d’adopter une a</w:t>
      </w:r>
      <w:r w:rsidR="00C33FC6" w:rsidRPr="00C33FC6">
        <w:t>pproche « plus qu’humaine » </w:t>
      </w:r>
      <w:r w:rsidR="00DA7AC5">
        <w:t xml:space="preserve">ou « au-delà de l’humain » </w:t>
      </w:r>
      <w:r w:rsidR="00C33FC6" w:rsidRPr="00C33FC6">
        <w:t>(more-</w:t>
      </w:r>
      <w:proofErr w:type="spellStart"/>
      <w:r w:rsidR="00C33FC6" w:rsidRPr="00C33FC6">
        <w:t>than</w:t>
      </w:r>
      <w:proofErr w:type="spellEnd"/>
      <w:r w:rsidR="00C33FC6" w:rsidRPr="00C33FC6">
        <w:t>-</w:t>
      </w:r>
      <w:proofErr w:type="spellStart"/>
      <w:r w:rsidR="00C33FC6" w:rsidRPr="00C33FC6">
        <w:t>human</w:t>
      </w:r>
      <w:proofErr w:type="spellEnd"/>
      <w:r w:rsidR="00C33FC6" w:rsidRPr="00C33FC6">
        <w:t>) qui replace les êtres humai</w:t>
      </w:r>
      <w:r w:rsidR="00C33FC6">
        <w:t>ns dans un ensemble plus vaste et renonce de fait à une quelconque opposition entre « l’homme » et la « nature »</w:t>
      </w:r>
      <w:r w:rsidR="0008015C">
        <w:rPr>
          <w:rStyle w:val="Appelnotedebasdep"/>
        </w:rPr>
        <w:footnoteReference w:id="27"/>
      </w:r>
      <w:r w:rsidR="00DA7AC5">
        <w:t>.</w:t>
      </w:r>
      <w:r w:rsidR="0027616C">
        <w:t xml:space="preserve"> </w:t>
      </w:r>
      <w:r w:rsidR="00DA7AC5">
        <w:t>D</w:t>
      </w:r>
      <w:r w:rsidR="0027616C">
        <w:t xml:space="preserve">ans cette approche, il y a entre les humains et les non-humains un jeu relationnel qui n’est plus dialectique mais intégratif : il s’agit de « voir le passé et le présent comme dynamiquement </w:t>
      </w:r>
      <w:proofErr w:type="spellStart"/>
      <w:r w:rsidR="0027616C">
        <w:t>co</w:t>
      </w:r>
      <w:proofErr w:type="spellEnd"/>
      <w:r w:rsidR="0027616C">
        <w:t>-constitués par de nombreux organismes, incluant les plantes, les animaux et les champignons, mais aussi des éléments et des forces, de l’eau aux minéraux » (</w:t>
      </w:r>
      <w:proofErr w:type="spellStart"/>
      <w:r w:rsidR="0027616C">
        <w:t>O’Gorman</w:t>
      </w:r>
      <w:proofErr w:type="spellEnd"/>
      <w:r w:rsidR="0027616C">
        <w:t xml:space="preserve"> et </w:t>
      </w:r>
      <w:proofErr w:type="spellStart"/>
      <w:r w:rsidR="0027616C">
        <w:t>Gaynor</w:t>
      </w:r>
      <w:proofErr w:type="spellEnd"/>
      <w:r w:rsidR="0027616C">
        <w:t>, 2020)</w:t>
      </w:r>
      <w:r w:rsidR="0008015C">
        <w:rPr>
          <w:rStyle w:val="Appelnotedebasdep"/>
        </w:rPr>
        <w:footnoteReference w:id="28"/>
      </w:r>
      <w:r w:rsidR="0027616C">
        <w:t>.</w:t>
      </w:r>
      <w:r w:rsidR="00DA7AC5">
        <w:t xml:space="preserve"> Elle invite à </w:t>
      </w:r>
      <w:r w:rsidR="006E1F44">
        <w:t>proposer</w:t>
      </w:r>
      <w:r w:rsidR="00DA7AC5">
        <w:t xml:space="preserve"> une histoire du CEP et de ses conséquences, notamment environnementales, qui ne soit pas seulement anthropocentrée</w:t>
      </w:r>
      <w:r w:rsidR="006E1F44">
        <w:t xml:space="preserve"> </w:t>
      </w:r>
      <w:r w:rsidR="00DA7AC5">
        <w:t>et pour laquelle un décentrement serait difficile à opérer</w:t>
      </w:r>
      <w:r w:rsidR="00DA7AC5">
        <w:rPr>
          <w:i/>
        </w:rPr>
        <w:t>a posteriori</w:t>
      </w:r>
      <w:r w:rsidR="006E1F44">
        <w:rPr>
          <w:i/>
        </w:rPr>
        <w:t> </w:t>
      </w:r>
      <w:r w:rsidR="006E1F44">
        <w:t>: en témoigne le suivi des migrations de poissons mis en place avec le CEP, dont l’objectif final est en fait la maîtrise de la chaîne alimentaire pour limiter l’impact des contaminations sur la santé humaine. L’approche « plus qu’humaine » encourage à l’inverse à considérer l’agentivité du vivant au sens large et les interactions variées des acteurs non-humains avec les processus économiques et sociaux.</w:t>
      </w:r>
    </w:p>
    <w:p w14:paraId="19341D46" w14:textId="76CC789C" w:rsidR="00B671D7" w:rsidRDefault="006E1F44" w:rsidP="00E02627">
      <w:pPr>
        <w:spacing w:after="0"/>
        <w:ind w:firstLine="708"/>
      </w:pPr>
      <w:r>
        <w:t xml:space="preserve">Les effets croisés des circulations humaines et non-humaines induites directement ou non par le CEP et celles relevant plus généralement du fonctionnement des écosystèmes </w:t>
      </w:r>
      <w:r w:rsidR="00B671D7">
        <w:t xml:space="preserve">concernent un </w:t>
      </w:r>
      <w:r>
        <w:t xml:space="preserve">vaste panel d’espèces. On peut ainsi penser à l’impact des aménagements (anthropisation des littoraux, prélèvement de granulats, </w:t>
      </w:r>
      <w:r w:rsidR="00C63914">
        <w:t>creusement</w:t>
      </w:r>
      <w:r>
        <w:t xml:space="preserve"> des passes) sur la diffusion de la ciguatera</w:t>
      </w:r>
      <w:r w:rsidR="00D0389C">
        <w:t xml:space="preserve"> à Tahiti ou </w:t>
      </w:r>
      <w:proofErr w:type="spellStart"/>
      <w:r w:rsidR="00D0389C">
        <w:t>Hao</w:t>
      </w:r>
      <w:proofErr w:type="spellEnd"/>
      <w:r w:rsidR="00D0389C">
        <w:t xml:space="preserve">, ou à la circulation d’espèces animales accompagnant celles des hommes, comme les chiens à bord des navires ou à Moruroa (Whisky). </w:t>
      </w:r>
      <w:r w:rsidR="002B1BF1">
        <w:t>Sur les sites d’essais, on constate un « paradoxe du vivier », une tension apparaissant entre les interdits sur de nombreuses espèces et l’abondance de celles-ci, conduisant par exemple à un trafic de langoustes entre Moruroa et Tahiti, mais cette circulation est-elle cependant pensée à l’heure du CEP ?</w:t>
      </w:r>
      <w:r w:rsidR="00FF044C">
        <w:t xml:space="preserve"> </w:t>
      </w:r>
      <w:r w:rsidR="00B671D7">
        <w:t>A l’inverse, les circulations des radionucléides et leur impact sur la biosphère est rapidement pris en compte : les militaires et le CEA sélectionnent un vaste panel d’espèces témoins, du bénitier</w:t>
      </w:r>
      <w:r w:rsidR="00FF044C">
        <w:t xml:space="preserve"> à la papaye</w:t>
      </w:r>
      <w:r w:rsidR="00B671D7">
        <w:t xml:space="preserve">, qui sont cueillies sur les atolls, pêchées au large des Gambier, achetées sur les marchés de </w:t>
      </w:r>
      <w:proofErr w:type="spellStart"/>
      <w:r w:rsidR="00B671D7">
        <w:t>Pape’</w:t>
      </w:r>
      <w:r w:rsidR="00E6728B">
        <w:t>e</w:t>
      </w:r>
      <w:r w:rsidR="00B671D7">
        <w:t>t</w:t>
      </w:r>
      <w:r w:rsidR="00E6728B">
        <w:t>e</w:t>
      </w:r>
      <w:proofErr w:type="spellEnd"/>
      <w:r w:rsidR="00B671D7">
        <w:t xml:space="preserve"> ou d’</w:t>
      </w:r>
      <w:proofErr w:type="spellStart"/>
      <w:r w:rsidR="00B671D7">
        <w:t>Uturoa</w:t>
      </w:r>
      <w:proofErr w:type="spellEnd"/>
      <w:r w:rsidR="00B671D7">
        <w:t xml:space="preserve"> pour en évaluer la radioactivité</w:t>
      </w:r>
      <w:r w:rsidR="00CD3A40">
        <w:t>,</w:t>
      </w:r>
      <w:r w:rsidR="00B671D7">
        <w:t xml:space="preserve"> les risques de</w:t>
      </w:r>
      <w:r w:rsidR="00E6728B">
        <w:t xml:space="preserve"> </w:t>
      </w:r>
      <w:r w:rsidR="00B671D7">
        <w:t xml:space="preserve">contamination de l’organisme humain. </w:t>
      </w:r>
      <w:r w:rsidR="00FF044C">
        <w:t>Les rapports du SMCB sur la mesure de la radioactivité du plancton révèlent que les courants océaniques sont intégrés dans l’évaluation des conséquences environnementales des essais</w:t>
      </w:r>
      <w:r w:rsidR="00FF044C">
        <w:rPr>
          <w:rStyle w:val="Appelnotedebasdep"/>
        </w:rPr>
        <w:footnoteReference w:id="29"/>
      </w:r>
      <w:r w:rsidR="00FF044C">
        <w:t>.</w:t>
      </w:r>
    </w:p>
    <w:p w14:paraId="047F1FB2" w14:textId="4449E927" w:rsidR="00FF044C" w:rsidRDefault="00B671D7" w:rsidP="00E02627">
      <w:pPr>
        <w:spacing w:after="0"/>
        <w:ind w:firstLine="708"/>
      </w:pPr>
      <w:r>
        <w:t>L’intégration</w:t>
      </w:r>
      <w:r w:rsidR="00FF044C">
        <w:t xml:space="preserve"> des mondes humain et non-humain</w:t>
      </w:r>
      <w:r>
        <w:t xml:space="preserve"> </w:t>
      </w:r>
      <w:r w:rsidR="00FF044C">
        <w:t>peut, voire doit</w:t>
      </w:r>
      <w:r w:rsidR="00CD3A40">
        <w:t>,</w:t>
      </w:r>
      <w:r w:rsidR="00FF044C">
        <w:t xml:space="preserve"> aussi se</w:t>
      </w:r>
      <w:r>
        <w:t xml:space="preserve"> situe</w:t>
      </w:r>
      <w:r w:rsidR="00FF044C">
        <w:t>r</w:t>
      </w:r>
      <w:r>
        <w:t xml:space="preserve"> sur le plan scientifique, invitant à construi</w:t>
      </w:r>
      <w:r w:rsidR="00CD3A40">
        <w:t>re</w:t>
      </w:r>
      <w:r>
        <w:t xml:space="preserve"> des études qui empruntent à divers champs des humanités environnementales, mais aussi, dans une perspective transdisciplinaire, aux sciences du vivant</w:t>
      </w:r>
      <w:r w:rsidR="00FF044C">
        <w:t xml:space="preserve"> et </w:t>
      </w:r>
      <w:r>
        <w:t>à la physique</w:t>
      </w:r>
      <w:r w:rsidR="00FF044C">
        <w:t xml:space="preserve">. Une telle approche incite dès lors </w:t>
      </w:r>
      <w:r>
        <w:t>à repenser les échelles spatiales et temporelles</w:t>
      </w:r>
      <w:r w:rsidR="00FF044C">
        <w:t xml:space="preserve"> et </w:t>
      </w:r>
      <w:r w:rsidR="00FF044C">
        <w:lastRenderedPageBreak/>
        <w:t xml:space="preserve">dans ce cas, à dépasser le cadre du CEP </w:t>
      </w:r>
      <w:r w:rsidR="00FF044C">
        <w:rPr>
          <w:i/>
        </w:rPr>
        <w:t>stricto sensu</w:t>
      </w:r>
      <w:r w:rsidR="0008015C" w:rsidRPr="00A61ECA">
        <w:rPr>
          <w:rStyle w:val="Appelnotedebasdep"/>
          <w:iCs/>
        </w:rPr>
        <w:footnoteReference w:id="30"/>
      </w:r>
      <w:r w:rsidRPr="00A61ECA">
        <w:rPr>
          <w:iCs/>
        </w:rPr>
        <w:t>.</w:t>
      </w:r>
      <w:r>
        <w:t xml:space="preserve">  </w:t>
      </w:r>
      <w:r w:rsidR="00187ED7">
        <w:t xml:space="preserve">La circulation </w:t>
      </w:r>
      <w:r w:rsidR="00FF044C">
        <w:t>d</w:t>
      </w:r>
      <w:r w:rsidR="00187ED7">
        <w:t>es espèces, végétales ou animales, locales ou allochtones</w:t>
      </w:r>
      <w:r w:rsidR="00FF044C">
        <w:t>, peut s’inscrire dans</w:t>
      </w:r>
      <w:r w:rsidR="005D4796">
        <w:t xml:space="preserve"> un contexte plus large d’intégration progressive de la Polynésie dans un espace mondialisé, il ne faut pas attendre le CEP pour que les animaux circulent</w:t>
      </w:r>
      <w:r w:rsidR="00EF7408">
        <w:t xml:space="preserve"> au sein de l’espace polynésien</w:t>
      </w:r>
      <w:r w:rsidR="005D4796">
        <w:t> : le nono (</w:t>
      </w:r>
      <w:proofErr w:type="spellStart"/>
      <w:r w:rsidR="005D4796">
        <w:rPr>
          <w:i/>
        </w:rPr>
        <w:t>Culicoides</w:t>
      </w:r>
      <w:proofErr w:type="spellEnd"/>
      <w:r w:rsidR="005D4796">
        <w:rPr>
          <w:i/>
        </w:rPr>
        <w:t xml:space="preserve"> </w:t>
      </w:r>
      <w:proofErr w:type="spellStart"/>
      <w:r w:rsidR="005D4796">
        <w:rPr>
          <w:i/>
        </w:rPr>
        <w:t>belkini</w:t>
      </w:r>
      <w:proofErr w:type="spellEnd"/>
      <w:r w:rsidR="00095990">
        <w:t xml:space="preserve">) apparaît à l’aéroport de Bora-Bora en 1959 et gagne Tahiti en 1961. </w:t>
      </w:r>
      <w:r w:rsidR="00EF7408">
        <w:t xml:space="preserve">Le </w:t>
      </w:r>
      <w:proofErr w:type="spellStart"/>
      <w:r w:rsidR="00EF7408">
        <w:t>miconia</w:t>
      </w:r>
      <w:proofErr w:type="spellEnd"/>
      <w:r w:rsidR="00EF7408">
        <w:t xml:space="preserve"> (</w:t>
      </w:r>
      <w:proofErr w:type="spellStart"/>
      <w:r w:rsidR="00EF7408" w:rsidRPr="00EF7408">
        <w:rPr>
          <w:i/>
        </w:rPr>
        <w:t>Miconia</w:t>
      </w:r>
      <w:proofErr w:type="spellEnd"/>
      <w:r w:rsidR="00EF7408" w:rsidRPr="00EF7408">
        <w:rPr>
          <w:i/>
        </w:rPr>
        <w:t xml:space="preserve"> </w:t>
      </w:r>
      <w:proofErr w:type="spellStart"/>
      <w:r w:rsidR="00EF7408" w:rsidRPr="00EF7408">
        <w:rPr>
          <w:i/>
        </w:rPr>
        <w:t>calvescens</w:t>
      </w:r>
      <w:proofErr w:type="spellEnd"/>
      <w:r w:rsidR="00EF7408">
        <w:t xml:space="preserve">), rapporté par Harrison Smith en 1937, révèle son potentiel invasif à partir des années 1970, après son introduction à </w:t>
      </w:r>
      <w:proofErr w:type="spellStart"/>
      <w:r w:rsidR="00EF7408">
        <w:t>Hawai</w:t>
      </w:r>
      <w:r w:rsidR="00CD3A40">
        <w:t>’i</w:t>
      </w:r>
      <w:proofErr w:type="spellEnd"/>
      <w:r w:rsidR="00EF7408">
        <w:t xml:space="preserve"> depuis Tahiti </w:t>
      </w:r>
      <w:r w:rsidR="00A21C27">
        <w:t xml:space="preserve">dans la </w:t>
      </w:r>
      <w:r w:rsidR="00A61ECA">
        <w:t>décennie</w:t>
      </w:r>
      <w:r w:rsidR="00A21C27">
        <w:t xml:space="preserve"> précédente</w:t>
      </w:r>
      <w:r w:rsidR="0008015C">
        <w:rPr>
          <w:rStyle w:val="Appelnotedebasdep"/>
        </w:rPr>
        <w:footnoteReference w:id="31"/>
      </w:r>
      <w:r w:rsidR="00023B94">
        <w:t xml:space="preserve">. </w:t>
      </w:r>
      <w:r w:rsidR="005A70A5">
        <w:t>A l’échelle globale, on pourra aussi penser à l’introduction délibérée de végétaux et à leurs conséquences, pas toujours anticipées, sur les écosystèmes polynésiens : le pin caraïbe (</w:t>
      </w:r>
      <w:r w:rsidR="005A70A5">
        <w:rPr>
          <w:i/>
        </w:rPr>
        <w:t xml:space="preserve">Pinus </w:t>
      </w:r>
      <w:proofErr w:type="spellStart"/>
      <w:r w:rsidR="005A70A5">
        <w:rPr>
          <w:i/>
        </w:rPr>
        <w:t>caribaea</w:t>
      </w:r>
      <w:proofErr w:type="spellEnd"/>
      <w:r w:rsidR="005A70A5">
        <w:t>) planté à grande échelle dans les années 1970 à des fins économiques et sociales (maintien de l’emploi)</w:t>
      </w:r>
      <w:r w:rsidR="00411B4E">
        <w:t> ;</w:t>
      </w:r>
      <w:r w:rsidR="005A70A5">
        <w:t xml:space="preserve"> le faux-acacia (</w:t>
      </w:r>
      <w:proofErr w:type="spellStart"/>
      <w:r w:rsidR="005A70A5" w:rsidRPr="00A80E32">
        <w:rPr>
          <w:i/>
        </w:rPr>
        <w:t>Leucaena</w:t>
      </w:r>
      <w:proofErr w:type="spellEnd"/>
      <w:r w:rsidR="005A70A5" w:rsidRPr="00A80E32">
        <w:rPr>
          <w:i/>
        </w:rPr>
        <w:t xml:space="preserve"> </w:t>
      </w:r>
      <w:proofErr w:type="spellStart"/>
      <w:r w:rsidR="005A70A5" w:rsidRPr="00A80E32">
        <w:rPr>
          <w:i/>
        </w:rPr>
        <w:t>leucocephala</w:t>
      </w:r>
      <w:proofErr w:type="spellEnd"/>
      <w:r w:rsidR="005A70A5">
        <w:t xml:space="preserve">) dont la diffusion accompagne le démantèlement </w:t>
      </w:r>
      <w:r w:rsidR="00411B4E">
        <w:t xml:space="preserve">; </w:t>
      </w:r>
      <w:r w:rsidR="005A70A5">
        <w:t>les produits maraîchers que l’on s’efforce d’acclimater dans le Pacifique pour accompagner les évolutions des pratiques alimentaires posent des défis écologiques (comment adapter des tomates européennes au climat tropical ?) et logistiques (notamment pour transporter les cultures des lieux de production à ceux de consommation).</w:t>
      </w:r>
      <w:r w:rsidR="00411B4E">
        <w:t xml:space="preserve"> A l’échelle locale, les pratiques productives et leurs conséquences environnementales peuvent être étudiées en décentrant la focale pour s’intéresser, par exemple, à l’impact de l’urbanisation de Tahiti ou des politiques agricoles sur les déplacements des cheptels porcin et bovin. </w:t>
      </w:r>
      <w:r w:rsidR="00FF044C">
        <w:t xml:space="preserve"> Il ne s’agit pas pour autant de délaisser la part jouée</w:t>
      </w:r>
      <w:r w:rsidR="00411B4E">
        <w:t xml:space="preserve"> directement</w:t>
      </w:r>
      <w:r w:rsidR="00FF044C">
        <w:t xml:space="preserve"> par le CEP</w:t>
      </w:r>
      <w:r w:rsidR="005E49F3">
        <w:t>, les espèces végétales et animales pouvant revêtir plusieurs rôles non-exclusifs. L</w:t>
      </w:r>
      <w:r w:rsidR="00FF044C">
        <w:t>e coco constitue un cas d’école puisque d’une part, dans la végétation des atolls, « c’est le cocotier qui a la plus grande importance » aux yeux des scientifiques chargés d’assurer le suivi des retombées</w:t>
      </w:r>
      <w:r w:rsidR="00411B4E">
        <w:rPr>
          <w:rStyle w:val="Appelnotedebasdep"/>
        </w:rPr>
        <w:footnoteReference w:id="32"/>
      </w:r>
      <w:r w:rsidR="00411B4E">
        <w:t xml:space="preserve">, et que d’autre part, la politique d’encouragement à la </w:t>
      </w:r>
      <w:proofErr w:type="spellStart"/>
      <w:r w:rsidR="00411B4E">
        <w:t>copraculture</w:t>
      </w:r>
      <w:proofErr w:type="spellEnd"/>
      <w:r w:rsidR="00411B4E">
        <w:t xml:space="preserve"> comme </w:t>
      </w:r>
      <w:r w:rsidR="00411B4E" w:rsidRPr="00411B4E">
        <w:t>facteur de fixation des populations dans les îles</w:t>
      </w:r>
      <w:r w:rsidR="00411B4E">
        <w:t xml:space="preserve"> conditionne elle aussi des flux humains et non-humains</w:t>
      </w:r>
      <w:r w:rsidR="005E49F3">
        <w:t>, incitant à s’interroger sur la place des écosystèmes dans les projets de développement des autorités</w:t>
      </w:r>
      <w:r w:rsidR="00411B4E">
        <w:t>.</w:t>
      </w:r>
    </w:p>
    <w:p w14:paraId="2945D3C1" w14:textId="77777777" w:rsidR="0015213F" w:rsidRPr="0008015C" w:rsidRDefault="0015213F" w:rsidP="0015213F"/>
    <w:p w14:paraId="304B7922" w14:textId="50C3E234" w:rsidR="00947844" w:rsidRDefault="00540D49" w:rsidP="00947844">
      <w:pPr>
        <w:pStyle w:val="Titre3"/>
      </w:pPr>
      <w:r>
        <w:t>Un s</w:t>
      </w:r>
      <w:r w:rsidR="00947844">
        <w:t>ystème technique et productif</w:t>
      </w:r>
      <w:r w:rsidR="0008015C">
        <w:t> ? É</w:t>
      </w:r>
      <w:r w:rsidR="00947844">
        <w:t>lectricité, capitaux, béton</w:t>
      </w:r>
    </w:p>
    <w:p w14:paraId="5A72CBEA" w14:textId="77777777" w:rsidR="00947844" w:rsidRDefault="00947844" w:rsidP="00947844"/>
    <w:p w14:paraId="64B00EE0" w14:textId="29EE6A50" w:rsidR="0008015C" w:rsidRDefault="00947844" w:rsidP="00E02627">
      <w:pPr>
        <w:spacing w:after="0"/>
        <w:ind w:firstLine="708"/>
        <w:rPr>
          <w:color w:val="000000" w:themeColor="text1"/>
        </w:rPr>
      </w:pPr>
      <w:r w:rsidRPr="0008015C">
        <w:rPr>
          <w:color w:val="000000" w:themeColor="text1"/>
        </w:rPr>
        <w:t>Par technique on entend très généralement la fabrication et la maîtrise d’outils qui médiatisent le rapport de l’homme à la nature. Par système technique, on entend ici la transformation, caractéristique d’une époque, du rapport global d’une société à la nature : la technique (</w:t>
      </w:r>
      <w:proofErr w:type="spellStart"/>
      <w:r w:rsidRPr="0008015C">
        <w:rPr>
          <w:i/>
          <w:iCs/>
          <w:color w:val="000000" w:themeColor="text1"/>
        </w:rPr>
        <w:t>phusis</w:t>
      </w:r>
      <w:proofErr w:type="spellEnd"/>
      <w:r w:rsidRPr="0008015C">
        <w:rPr>
          <w:color w:val="000000" w:themeColor="text1"/>
        </w:rPr>
        <w:t>) des Grecs, empirique, ne mathématise pas le monde (Koyré) ; la systématisation méthodique par les Romains des outils existants accompagne leur domination impériale ; la révolution copernicienne permet l’industrialisation, modifiant jusqu’à l’économie agricoles et les rapports sociaux agraires. La machine s’ajoutant à l’outil ouvre un nouvel âge de la technique. La modernité du machinisme va de pair avec la modernité de l’</w:t>
      </w:r>
      <w:r w:rsidR="00A61ECA" w:rsidRPr="0008015C">
        <w:rPr>
          <w:color w:val="000000" w:themeColor="text1"/>
        </w:rPr>
        <w:t>État</w:t>
      </w:r>
      <w:r w:rsidRPr="0008015C">
        <w:rPr>
          <w:color w:val="000000" w:themeColor="text1"/>
        </w:rPr>
        <w:t xml:space="preserve">, qui gouverne les hommes selon une ingénierie toujours plus abstraite ou du moins médiatisée par des outils administratifs (statistiques, management) et des institutions formatrices (école, armées </w:t>
      </w:r>
      <w:proofErr w:type="gramStart"/>
      <w:r w:rsidRPr="0008015C">
        <w:rPr>
          <w:color w:val="000000" w:themeColor="text1"/>
        </w:rPr>
        <w:t>etc. )qui</w:t>
      </w:r>
      <w:proofErr w:type="gramEnd"/>
      <w:r w:rsidRPr="0008015C">
        <w:rPr>
          <w:color w:val="000000" w:themeColor="text1"/>
        </w:rPr>
        <w:t xml:space="preserve"> ont accompagné la colonisation.</w:t>
      </w:r>
    </w:p>
    <w:p w14:paraId="532E955C" w14:textId="78DCFE53" w:rsidR="00947844" w:rsidRDefault="00947844" w:rsidP="00E02627">
      <w:pPr>
        <w:spacing w:after="0"/>
        <w:ind w:firstLine="708"/>
        <w:rPr>
          <w:color w:val="000000" w:themeColor="text1"/>
        </w:rPr>
      </w:pPr>
      <w:r w:rsidRPr="0008015C">
        <w:rPr>
          <w:color w:val="000000" w:themeColor="text1"/>
        </w:rPr>
        <w:lastRenderedPageBreak/>
        <w:t>Par l’accroissement considérable des ressources et par la dynamique de développement qu’il entraîne à Tahiti, le CEP accélère les mutations économiques et sociales</w:t>
      </w:r>
      <w:r w:rsidR="0008015C">
        <w:rPr>
          <w:color w:val="000000" w:themeColor="text1"/>
        </w:rPr>
        <w:t xml:space="preserve"> qui lui sont antérieures</w:t>
      </w:r>
      <w:r w:rsidRPr="0008015C">
        <w:rPr>
          <w:color w:val="000000" w:themeColor="text1"/>
        </w:rPr>
        <w:t xml:space="preserve">. Directement tertiarisée sans être passée par l’étape de l’industrialisation, la société polynésienne accède « aux délices et aux poisons de la société de consommation » Rapport Nora, 1976) dont, le pétrole et le béton constituent à la fois </w:t>
      </w:r>
      <w:r w:rsidR="0008015C">
        <w:rPr>
          <w:color w:val="000000" w:themeColor="text1"/>
        </w:rPr>
        <w:t>la</w:t>
      </w:r>
      <w:r w:rsidRPr="0008015C">
        <w:rPr>
          <w:color w:val="000000" w:themeColor="text1"/>
        </w:rPr>
        <w:t xml:space="preserve"> matrice et </w:t>
      </w:r>
      <w:r w:rsidR="0008015C">
        <w:rPr>
          <w:color w:val="000000" w:themeColor="text1"/>
        </w:rPr>
        <w:t>le</w:t>
      </w:r>
      <w:r w:rsidRPr="0008015C">
        <w:rPr>
          <w:color w:val="000000" w:themeColor="text1"/>
        </w:rPr>
        <w:t xml:space="preserve"> symbole. Ce système repose sur l’accélération et l’amplification de flux de matériaux</w:t>
      </w:r>
      <w:r w:rsidR="0008015C">
        <w:rPr>
          <w:color w:val="000000" w:themeColor="text1"/>
        </w:rPr>
        <w:t>,</w:t>
      </w:r>
      <w:r w:rsidRPr="0008015C">
        <w:rPr>
          <w:color w:val="000000" w:themeColor="text1"/>
        </w:rPr>
        <w:t xml:space="preserve"> de biens manufacturés</w:t>
      </w:r>
      <w:r w:rsidR="0008015C">
        <w:rPr>
          <w:color w:val="000000" w:themeColor="text1"/>
        </w:rPr>
        <w:t xml:space="preserve"> et</w:t>
      </w:r>
      <w:r w:rsidRPr="0008015C">
        <w:rPr>
          <w:color w:val="000000" w:themeColor="text1"/>
        </w:rPr>
        <w:t xml:space="preserve"> de capitaux qui contribuent à une dynamique de modernisation amorcée dans le cadre d’un premier projet modernisateur </w:t>
      </w:r>
      <w:r w:rsidR="0008015C">
        <w:rPr>
          <w:color w:val="000000" w:themeColor="text1"/>
        </w:rPr>
        <w:t xml:space="preserve">conçu </w:t>
      </w:r>
      <w:r w:rsidRPr="0008015C">
        <w:rPr>
          <w:color w:val="000000" w:themeColor="text1"/>
        </w:rPr>
        <w:t>antérieur</w:t>
      </w:r>
      <w:r w:rsidR="0008015C">
        <w:rPr>
          <w:color w:val="000000" w:themeColor="text1"/>
        </w:rPr>
        <w:t>ement</w:t>
      </w:r>
      <w:r w:rsidRPr="0008015C">
        <w:rPr>
          <w:color w:val="000000" w:themeColor="text1"/>
        </w:rPr>
        <w:t xml:space="preserve"> au CEP</w:t>
      </w:r>
      <w:r w:rsidR="0008015C">
        <w:rPr>
          <w:color w:val="000000" w:themeColor="text1"/>
        </w:rPr>
        <w:t>, dès</w:t>
      </w:r>
      <w:r w:rsidRPr="0008015C">
        <w:rPr>
          <w:color w:val="000000" w:themeColor="text1"/>
        </w:rPr>
        <w:t xml:space="preserve"> la fin des années 1950</w:t>
      </w:r>
      <w:r w:rsidR="0008015C">
        <w:rPr>
          <w:color w:val="000000" w:themeColor="text1"/>
        </w:rPr>
        <w:t xml:space="preserve">, alors qu’il ne parait plus </w:t>
      </w:r>
      <w:r w:rsidR="00A51A58">
        <w:rPr>
          <w:color w:val="000000" w:themeColor="text1"/>
        </w:rPr>
        <w:t>applicable</w:t>
      </w:r>
      <w:r w:rsidR="0008015C">
        <w:rPr>
          <w:color w:val="000000" w:themeColor="text1"/>
        </w:rPr>
        <w:t xml:space="preserve"> à l’Empire qui se défait</w:t>
      </w:r>
      <w:r w:rsidRPr="0008015C">
        <w:rPr>
          <w:color w:val="000000" w:themeColor="text1"/>
        </w:rPr>
        <w:t>. Toutefois, là encore, il s’agit de dépasser le piège diffusionniste (l’Europe exporte, la Polynésie reçoit plus ou moins passivement et s’adapte) et l’</w:t>
      </w:r>
      <w:r w:rsidR="00A61ECA" w:rsidRPr="0008015C">
        <w:rPr>
          <w:color w:val="000000" w:themeColor="text1"/>
        </w:rPr>
        <w:t>exceptionnalisme</w:t>
      </w:r>
      <w:r w:rsidRPr="0008015C">
        <w:rPr>
          <w:color w:val="000000" w:themeColor="text1"/>
        </w:rPr>
        <w:t xml:space="preserve"> nucléaire (tout commencerait avec le CEP) pour comprendre et expliquer le jeu des acteurs locaux, les </w:t>
      </w:r>
      <w:r w:rsidR="00A51A58" w:rsidRPr="0008015C">
        <w:rPr>
          <w:color w:val="000000" w:themeColor="text1"/>
        </w:rPr>
        <w:t>accommodements</w:t>
      </w:r>
      <w:r w:rsidRPr="0008015C">
        <w:rPr>
          <w:color w:val="000000" w:themeColor="text1"/>
        </w:rPr>
        <w:t xml:space="preserve"> et/ou les résistances, l’insertion dans des </w:t>
      </w:r>
      <w:proofErr w:type="gramStart"/>
      <w:r w:rsidRPr="0008015C">
        <w:rPr>
          <w:color w:val="000000" w:themeColor="text1"/>
        </w:rPr>
        <w:t>flux  spécifiques</w:t>
      </w:r>
      <w:proofErr w:type="gramEnd"/>
      <w:r w:rsidRPr="0008015C">
        <w:rPr>
          <w:color w:val="000000" w:themeColor="text1"/>
        </w:rPr>
        <w:t xml:space="preserve"> à l’échelle Pacifique. </w:t>
      </w:r>
    </w:p>
    <w:p w14:paraId="4BCD514F" w14:textId="77777777" w:rsidR="00AA1584" w:rsidRPr="00E02627" w:rsidRDefault="00AA1584" w:rsidP="00E02627">
      <w:pPr>
        <w:spacing w:after="0"/>
        <w:ind w:firstLine="708"/>
        <w:rPr>
          <w:color w:val="000000" w:themeColor="text1"/>
        </w:rPr>
      </w:pPr>
    </w:p>
    <w:p w14:paraId="2E7F9755" w14:textId="67C79C5A" w:rsidR="003312D2" w:rsidRDefault="003312D2" w:rsidP="00E02627">
      <w:pPr>
        <w:pStyle w:val="Titre3"/>
      </w:pPr>
      <w:r w:rsidRPr="00BB7F1A">
        <w:t>Idées, savoirs et représentations</w:t>
      </w:r>
    </w:p>
    <w:p w14:paraId="53421C21" w14:textId="0745E99B" w:rsidR="00C37BC5" w:rsidRDefault="008D7DF8" w:rsidP="00C37BC5">
      <w:pPr>
        <w:spacing w:after="0"/>
        <w:ind w:firstLine="708"/>
      </w:pPr>
      <w:r>
        <w:t>L’</w:t>
      </w:r>
      <w:r w:rsidR="003312D2">
        <w:t xml:space="preserve">approche par réseaux des militantismes anti-CEP a eu le mérite de briser le modèle diffusionniste qui présuppose un centre européen, moderne, innovant et rationnel, apportant une expertise aux militants polynésiens, mais aussi un répertoire d’action, qui aurait dû seulement s’adapter à un territoire où les </w:t>
      </w:r>
      <w:r w:rsidR="006C06F6">
        <w:t>croyances</w:t>
      </w:r>
      <w:r w:rsidR="003312D2">
        <w:t xml:space="preserve"> religieuses, notamment, auraient offert un </w:t>
      </w:r>
      <w:r w:rsidR="006C06F6">
        <w:t>visage</w:t>
      </w:r>
      <w:r w:rsidR="003312D2">
        <w:t xml:space="preserve"> particulier à la contestation</w:t>
      </w:r>
      <w:r>
        <w:rPr>
          <w:rStyle w:val="Appelnotedebasdep"/>
        </w:rPr>
        <w:footnoteReference w:id="33"/>
      </w:r>
      <w:r w:rsidR="003312D2">
        <w:t xml:space="preserve">. En réalité, qu’il s’agisse des idées, de leurs modes de propagation ou d’énonciation, </w:t>
      </w:r>
      <w:r w:rsidR="00C0138E">
        <w:t>les travaux de</w:t>
      </w:r>
      <w:r w:rsidR="003312D2">
        <w:t xml:space="preserve"> Florence </w:t>
      </w:r>
      <w:proofErr w:type="spellStart"/>
      <w:r w:rsidR="003312D2">
        <w:t>Mury</w:t>
      </w:r>
      <w:proofErr w:type="spellEnd"/>
      <w:r w:rsidR="003312D2">
        <w:t xml:space="preserve"> </w:t>
      </w:r>
      <w:r w:rsidR="00C0138E">
        <w:t>ont</w:t>
      </w:r>
      <w:r w:rsidR="003312D2">
        <w:t xml:space="preserve"> montré les chronologies, enjeux et échelles propres des renaissances culturelles qui ont porté, pour partie, un discours sur la modernité du CEP</w:t>
      </w:r>
      <w:r w:rsidR="004E5BB0">
        <w:rPr>
          <w:rStyle w:val="Appelnotedebasdep"/>
        </w:rPr>
        <w:footnoteReference w:id="34"/>
      </w:r>
      <w:r w:rsidR="003312D2">
        <w:t>.</w:t>
      </w:r>
      <w:bookmarkStart w:id="0" w:name="_Hlk180916627"/>
    </w:p>
    <w:p w14:paraId="474E8908" w14:textId="6A7C5516" w:rsidR="006C06F6" w:rsidRDefault="006C06F6" w:rsidP="00D46A36">
      <w:pPr>
        <w:pStyle w:val="Sansinterligne"/>
        <w:ind w:firstLine="708"/>
      </w:pPr>
      <w:r>
        <w:t>D’une façon générale, la lutte contre la nucléarisation du Pacifique ne se comprend pas sans tenir en compte des circulations d’idées à l’échelle régionale. Sa dimension</w:t>
      </w:r>
      <w:r w:rsidRPr="00404B33">
        <w:t xml:space="preserve"> anticoloniale s’affirme lors des rencontres de la </w:t>
      </w:r>
      <w:proofErr w:type="spellStart"/>
      <w:r w:rsidRPr="00404B33">
        <w:rPr>
          <w:i/>
          <w:iCs/>
        </w:rPr>
        <w:t>Nuclear</w:t>
      </w:r>
      <w:proofErr w:type="spellEnd"/>
      <w:r w:rsidRPr="00404B33">
        <w:rPr>
          <w:i/>
          <w:iCs/>
        </w:rPr>
        <w:t xml:space="preserve">-Free Pacific </w:t>
      </w:r>
      <w:proofErr w:type="spellStart"/>
      <w:r w:rsidRPr="00404B33">
        <w:rPr>
          <w:i/>
          <w:iCs/>
        </w:rPr>
        <w:t>Conference</w:t>
      </w:r>
      <w:proofErr w:type="spellEnd"/>
      <w:r w:rsidRPr="00404B33">
        <w:t xml:space="preserve"> qui se transforme, en 1980, en </w:t>
      </w:r>
      <w:proofErr w:type="spellStart"/>
      <w:r w:rsidRPr="00404B33">
        <w:rPr>
          <w:i/>
          <w:iCs/>
        </w:rPr>
        <w:t>Nuclear</w:t>
      </w:r>
      <w:proofErr w:type="spellEnd"/>
      <w:r w:rsidRPr="00404B33">
        <w:rPr>
          <w:i/>
          <w:iCs/>
        </w:rPr>
        <w:t>-Free and Independent Pacific</w:t>
      </w:r>
      <w:r w:rsidRPr="00404B33">
        <w:t xml:space="preserve"> (</w:t>
      </w:r>
      <w:r w:rsidRPr="00404B33">
        <w:rPr>
          <w:smallCaps/>
        </w:rPr>
        <w:t>NFIP</w:t>
      </w:r>
      <w:r w:rsidRPr="00404B33">
        <w:t xml:space="preserve">). </w:t>
      </w:r>
      <w:r>
        <w:t>L</w:t>
      </w:r>
      <w:r w:rsidRPr="00404B33">
        <w:t>e projet américain de stockage de déchets de combustibles nucléaires dans le Pacifique relance une opposition large au nucléaire. Après deux années de silence, le Forum du Pacifique Sud relève dans son communiqué de 1979 « </w:t>
      </w:r>
      <w:r w:rsidRPr="00404B33">
        <w:rPr>
          <w:iCs/>
        </w:rPr>
        <w:t>le désir des peuples insulaire du Pacifique, y compris ceux des territoires français, de choisir leur propre futur</w:t>
      </w:r>
      <w:r w:rsidRPr="00404B33">
        <w:rPr>
          <w:i/>
          <w:iCs/>
        </w:rPr>
        <w:t> </w:t>
      </w:r>
      <w:r w:rsidRPr="00404B33">
        <w:t>»</w:t>
      </w:r>
      <w:r w:rsidRPr="00404B33">
        <w:rPr>
          <w:rStyle w:val="Appelnotedebasdep"/>
          <w:rFonts w:ascii="Times New Roman" w:hAnsi="Times New Roman" w:cs="Times New Roman"/>
        </w:rPr>
        <w:footnoteReference w:id="35"/>
      </w:r>
      <w:r w:rsidRPr="00404B33">
        <w:t>. Cette même année, la République de Palau adopte une constitution faisant d’elle le premier pays dénucléarisé au monde ; une décision que les États-Unis s’emploient à contrecarrer</w:t>
      </w:r>
      <w:r w:rsidR="00D46A36">
        <w:t xml:space="preserve">. </w:t>
      </w:r>
      <w:r>
        <w:t>L</w:t>
      </w:r>
      <w:r w:rsidRPr="00404B33">
        <w:t xml:space="preserve">’opposition au nucléaire participe </w:t>
      </w:r>
      <w:r>
        <w:t xml:space="preserve">également </w:t>
      </w:r>
      <w:r w:rsidRPr="00404B33">
        <w:t>du regroupement, en 1980, des syndicats de la région en un Forum des Syndicats du Pacifique Sud qui lors de sa première réunion en 1981, se déclare en faveur d’une zone dénucléarisée du Pacifique</w:t>
      </w:r>
      <w:r w:rsidRPr="00404B33">
        <w:rPr>
          <w:rStyle w:val="Appelnotedebasdep"/>
          <w:rFonts w:ascii="Times New Roman" w:hAnsi="Times New Roman" w:cs="Times New Roman"/>
        </w:rPr>
        <w:footnoteReference w:id="36"/>
      </w:r>
      <w:r w:rsidRPr="00404B33">
        <w:t>.</w:t>
      </w:r>
      <w:r w:rsidR="00D46A36">
        <w:t xml:space="preserve"> Aussi bien, comme le montre Sarah Mohamed-Gaillard, la</w:t>
      </w:r>
      <w:r w:rsidRPr="00404B33">
        <w:t xml:space="preserve"> conjugaison des sentiments anticoloniaux et anti-nucléaires participe de l’affirmation d’un régionalisme </w:t>
      </w:r>
      <w:r w:rsidR="00D46A36">
        <w:t xml:space="preserve">qui peut </w:t>
      </w:r>
      <w:r w:rsidRPr="00404B33">
        <w:t>dénoncer la place de la France dans le Pacifiqu</w:t>
      </w:r>
      <w:r w:rsidR="00D46A36">
        <w:t>e</w:t>
      </w:r>
      <w:r w:rsidR="00D46A36">
        <w:rPr>
          <w:rStyle w:val="Appelnotedebasdep"/>
          <w:rFonts w:ascii="Times New Roman" w:hAnsi="Times New Roman" w:cs="Times New Roman"/>
        </w:rPr>
        <w:footnoteReference w:id="37"/>
      </w:r>
      <w:r w:rsidRPr="00404B33">
        <w:t xml:space="preserve">. </w:t>
      </w:r>
    </w:p>
    <w:p w14:paraId="6F362765" w14:textId="2095516D" w:rsidR="001A5B01" w:rsidRDefault="004E6A49" w:rsidP="001A5B01">
      <w:pPr>
        <w:pStyle w:val="Sansinterligne"/>
        <w:ind w:firstLine="708"/>
      </w:pPr>
      <w:r w:rsidRPr="001A5B01">
        <w:lastRenderedPageBreak/>
        <w:t xml:space="preserve">La connexion de ces </w:t>
      </w:r>
      <w:r w:rsidR="001A5B01" w:rsidRPr="001A5B01">
        <w:t xml:space="preserve">enjeux régionaux avec des dynamiques globales doit également prendre en compte </w:t>
      </w:r>
      <w:r w:rsidR="001A5B01" w:rsidRPr="001A5B01">
        <w:t>l</w:t>
      </w:r>
      <w:r w:rsidR="001A5B01">
        <w:t>’</w:t>
      </w:r>
      <w:r w:rsidR="001A5B01" w:rsidRPr="001A5B01">
        <w:t xml:space="preserve">irruption de </w:t>
      </w:r>
      <w:r w:rsidR="001A5B01">
        <w:t>« l</w:t>
      </w:r>
      <w:r w:rsidR="001A5B01" w:rsidRPr="001A5B01">
        <w:t>'environnement global au tout début des années 1970 (sommet de Stockholm) mais déjà en gestation depuis le milieu des années 1960. Cette notion est directement liée aux essais nucléaires par le prisme des retombées radioactives.</w:t>
      </w:r>
    </w:p>
    <w:p w14:paraId="3E1AAE84" w14:textId="7275CD4B" w:rsidR="006C06F6" w:rsidRDefault="00174BFA" w:rsidP="005A7A10">
      <w:pPr>
        <w:pStyle w:val="Sansinterligne"/>
        <w:ind w:firstLine="708"/>
      </w:pPr>
      <w:r>
        <w:t>La</w:t>
      </w:r>
      <w:r w:rsidRPr="00174BFA">
        <w:t xml:space="preserve"> dimension </w:t>
      </w:r>
      <w:r>
        <w:t>circulatoire</w:t>
      </w:r>
      <w:r w:rsidRPr="00174BFA">
        <w:t xml:space="preserve"> des mouvements de revendications</w:t>
      </w:r>
      <w:r>
        <w:t xml:space="preserve"> et de</w:t>
      </w:r>
      <w:r w:rsidRPr="00174BFA">
        <w:t xml:space="preserve"> reconnaissance</w:t>
      </w:r>
      <w:r>
        <w:t>s</w:t>
      </w:r>
      <w:r w:rsidRPr="00174BFA">
        <w:t xml:space="preserve"> de responsabilité </w:t>
      </w:r>
      <w:r>
        <w:t>concerne également les</w:t>
      </w:r>
      <w:r w:rsidRPr="00174BFA">
        <w:t xml:space="preserve"> demandes en indemnisation</w:t>
      </w:r>
      <w:r>
        <w:t>,</w:t>
      </w:r>
      <w:r w:rsidRPr="00174BFA">
        <w:t xml:space="preserve"> au moins au niveau régional</w:t>
      </w:r>
      <w:r w:rsidR="004E6A49">
        <w:t>, les lois et dispositifs prenant en compte les maladies radio-induites et le préjudice qu’elles représentent se construisant les uns par rapport aux autres</w:t>
      </w:r>
      <w:r w:rsidRPr="00174BFA">
        <w:t>.</w:t>
      </w:r>
    </w:p>
    <w:p w14:paraId="28C8978A" w14:textId="29C45DA7" w:rsidR="001A5B01" w:rsidRDefault="006C06F6" w:rsidP="005A7A10">
      <w:pPr>
        <w:spacing w:after="0"/>
        <w:ind w:firstLine="708"/>
      </w:pPr>
      <w:r>
        <w:t>Enfin,</w:t>
      </w:r>
      <w:r w:rsidR="009C5308" w:rsidRPr="00C37BC5">
        <w:t xml:space="preserve"> nombreu</w:t>
      </w:r>
      <w:r w:rsidR="00871EE6" w:rsidRPr="00C37BC5">
        <w:t>x films et</w:t>
      </w:r>
      <w:r w:rsidR="009C5308" w:rsidRPr="00C37BC5">
        <w:t xml:space="preserve"> photographie</w:t>
      </w:r>
      <w:r w:rsidR="00871EE6" w:rsidRPr="00C37BC5">
        <w:t>s</w:t>
      </w:r>
      <w:r w:rsidR="001F3BEB" w:rsidRPr="00C37BC5">
        <w:t xml:space="preserve"> – en partie disponible en ligne</w:t>
      </w:r>
      <w:r w:rsidR="009C5308" w:rsidRPr="00C37BC5">
        <w:rPr>
          <w:rStyle w:val="Appelnotedebasdep"/>
        </w:rPr>
        <w:footnoteReference w:id="38"/>
      </w:r>
      <w:r w:rsidR="001F3BEB" w:rsidRPr="00C37BC5">
        <w:t xml:space="preserve"> – </w:t>
      </w:r>
      <w:r w:rsidR="00501803" w:rsidRPr="00C37BC5">
        <w:t>donne</w:t>
      </w:r>
      <w:r w:rsidR="00777D02" w:rsidRPr="00C37BC5">
        <w:t>nt</w:t>
      </w:r>
      <w:r w:rsidR="00501803" w:rsidRPr="00C37BC5">
        <w:t xml:space="preserve"> </w:t>
      </w:r>
      <w:r w:rsidR="001F3BEB" w:rsidRPr="00C37BC5">
        <w:t xml:space="preserve">à voir la Polynésie </w:t>
      </w:r>
      <w:r w:rsidR="009C5308" w:rsidRPr="00C37BC5">
        <w:t xml:space="preserve">française </w:t>
      </w:r>
      <w:r w:rsidR="001F3BEB" w:rsidRPr="00C37BC5">
        <w:t>à l’heure du CEP</w:t>
      </w:r>
      <w:r w:rsidR="009C5308" w:rsidRPr="00C37BC5">
        <w:t>.</w:t>
      </w:r>
      <w:r w:rsidR="001F3BEB" w:rsidRPr="00C37BC5">
        <w:t xml:space="preserve"> </w:t>
      </w:r>
      <w:r w:rsidR="00A11F94" w:rsidRPr="00C37BC5">
        <w:t>L</w:t>
      </w:r>
      <w:r w:rsidR="00777D02" w:rsidRPr="00C37BC5">
        <w:t>’institution militaire</w:t>
      </w:r>
      <w:r w:rsidR="00A11F94" w:rsidRPr="00C37BC5">
        <w:t xml:space="preserve"> produit ces images</w:t>
      </w:r>
      <w:r w:rsidR="00777D02" w:rsidRPr="00C37BC5">
        <w:t xml:space="preserve"> dans une logique qui tient à la fois de la propagande, de l’information et des relations publiques,</w:t>
      </w:r>
      <w:r w:rsidR="00A11F94" w:rsidRPr="00C37BC5">
        <w:t xml:space="preserve"> ce qui n’enlève rien à leur intérêt pour les chercheurs. Ce corpus </w:t>
      </w:r>
      <w:r w:rsidR="00C37BC5" w:rsidRPr="00C37BC5">
        <w:t>permet d’interroger</w:t>
      </w:r>
      <w:r w:rsidR="00BB6B2C" w:rsidRPr="00C37BC5">
        <w:t xml:space="preserve"> l’imaginaire nucléaire</w:t>
      </w:r>
      <w:r w:rsidR="00C37BC5" w:rsidRPr="00C37BC5">
        <w:t xml:space="preserve"> des décideurs</w:t>
      </w:r>
      <w:r w:rsidR="00BB6B2C" w:rsidRPr="00C37BC5">
        <w:rPr>
          <w:rStyle w:val="Appelnotedebasdep"/>
        </w:rPr>
        <w:footnoteReference w:id="39"/>
      </w:r>
      <w:r w:rsidR="00C37BC5" w:rsidRPr="00C37BC5">
        <w:t>. Il</w:t>
      </w:r>
      <w:r w:rsidR="00BB6B2C" w:rsidRPr="00C37BC5">
        <w:t xml:space="preserve"> ouvr</w:t>
      </w:r>
      <w:r w:rsidR="005136FB" w:rsidRPr="00C37BC5">
        <w:t>e</w:t>
      </w:r>
      <w:r w:rsidR="00BB6B2C" w:rsidRPr="00C37BC5">
        <w:t xml:space="preserve"> des réflexions sur la circulation de ces images et </w:t>
      </w:r>
      <w:r w:rsidR="00871EE6" w:rsidRPr="00C37BC5">
        <w:t>questionne les</w:t>
      </w:r>
      <w:r w:rsidR="00BB6B2C" w:rsidRPr="00C37BC5">
        <w:t xml:space="preserve"> représentations de la société polynésienne à même d’alimenter les entrées appel</w:t>
      </w:r>
      <w:r w:rsidR="00871EE6" w:rsidRPr="00C37BC5">
        <w:t>ées</w:t>
      </w:r>
      <w:r w:rsidR="00BB6B2C" w:rsidRPr="00C37BC5">
        <w:t xml:space="preserve"> à être développ</w:t>
      </w:r>
      <w:r w:rsidR="00871EE6" w:rsidRPr="00C37BC5">
        <w:t>ées</w:t>
      </w:r>
      <w:r w:rsidR="00BB6B2C" w:rsidRPr="00C37BC5">
        <w:t xml:space="preserve"> dans ce colloque. </w:t>
      </w:r>
      <w:r w:rsidR="001A5B01">
        <w:t>Il est remarquable que</w:t>
      </w:r>
      <w:r w:rsidR="001A5B01" w:rsidRPr="001A5B01">
        <w:t xml:space="preserve"> </w:t>
      </w:r>
      <w:r w:rsidR="001A5B01">
        <w:t>le</w:t>
      </w:r>
      <w:r w:rsidR="001A5B01" w:rsidRPr="001A5B01">
        <w:t xml:space="preserve"> choc des imaginaires entre nucléaire et tourisme,</w:t>
      </w:r>
      <w:r w:rsidR="001A5B01">
        <w:t xml:space="preserve"> levier de développement conçu par Paris antérieurement au CEP n’ait pas perturbé</w:t>
      </w:r>
      <w:r w:rsidR="001A5B01" w:rsidRPr="001A5B01">
        <w:t xml:space="preserve"> </w:t>
      </w:r>
      <w:r w:rsidR="001A5B01">
        <w:t xml:space="preserve">l’imaginaire </w:t>
      </w:r>
      <w:r w:rsidR="005A7A10">
        <w:t>de l’île paradisiaque</w:t>
      </w:r>
      <w:r w:rsidR="001A5B01" w:rsidRPr="001A5B01">
        <w:t xml:space="preserve"> </w:t>
      </w:r>
      <w:r w:rsidR="005A7A10">
        <w:t>(</w:t>
      </w:r>
      <w:r w:rsidR="001A5B01" w:rsidRPr="001A5B01">
        <w:t>Bora-Bora</w:t>
      </w:r>
      <w:r w:rsidR="005A7A10">
        <w:t xml:space="preserve">, Club </w:t>
      </w:r>
      <w:r w:rsidR="00623B42">
        <w:t>M</w:t>
      </w:r>
      <w:r w:rsidR="005A7A10">
        <w:t>ed de</w:t>
      </w:r>
      <w:r w:rsidR="005A7A10" w:rsidRPr="00623B42">
        <w:t xml:space="preserve"> </w:t>
      </w:r>
      <w:proofErr w:type="spellStart"/>
      <w:r w:rsidR="00623B42" w:rsidRPr="00623B42">
        <w:t>Mo</w:t>
      </w:r>
      <w:r w:rsidR="00623B42">
        <w:t>’</w:t>
      </w:r>
      <w:r w:rsidR="00623B42" w:rsidRPr="00623B42">
        <w:t>ore</w:t>
      </w:r>
      <w:r w:rsidR="00623B42">
        <w:t>’</w:t>
      </w:r>
      <w:r w:rsidR="00623B42" w:rsidRPr="00623B42">
        <w:t>a</w:t>
      </w:r>
      <w:proofErr w:type="spellEnd"/>
      <w:r w:rsidR="00623B42">
        <w:t xml:space="preserve"> </w:t>
      </w:r>
      <w:proofErr w:type="spellStart"/>
      <w:r w:rsidR="005A7A10">
        <w:t>etc</w:t>
      </w:r>
      <w:proofErr w:type="spellEnd"/>
      <w:r w:rsidR="005A7A10">
        <w:t>)</w:t>
      </w:r>
      <w:r w:rsidR="001A5B01" w:rsidRPr="001A5B01">
        <w:t>.</w:t>
      </w:r>
      <w:r w:rsidR="001A5B01" w:rsidRPr="001A5B01">
        <w:rPr>
          <w:rStyle w:val="apple-converted-space"/>
        </w:rPr>
        <w:t> </w:t>
      </w:r>
    </w:p>
    <w:p w14:paraId="4C83A425" w14:textId="06337CCD" w:rsidR="00636A38" w:rsidRDefault="00501803" w:rsidP="00636A38">
      <w:pPr>
        <w:spacing w:after="0"/>
        <w:ind w:firstLine="708"/>
      </w:pPr>
      <w:r w:rsidRPr="00C37BC5">
        <w:t xml:space="preserve">La circulation de l’information peut également </w:t>
      </w:r>
      <w:r w:rsidR="00BB6B2C" w:rsidRPr="00C37BC5">
        <w:t>être</w:t>
      </w:r>
      <w:r w:rsidRPr="00C37BC5">
        <w:t xml:space="preserve"> </w:t>
      </w:r>
      <w:r w:rsidR="00444A77">
        <w:t>susciter des approches en histoire des médias</w:t>
      </w:r>
      <w:r w:rsidR="00BB6B2C" w:rsidRPr="00C37BC5">
        <w:t xml:space="preserve"> en mettant au jour l’impact du CEP sur le </w:t>
      </w:r>
      <w:r w:rsidRPr="00C37BC5">
        <w:t>paysage médiatique</w:t>
      </w:r>
      <w:r w:rsidR="00F214FC">
        <w:t>, en Polynésie française</w:t>
      </w:r>
      <w:r w:rsidR="00BB6B2C" w:rsidRPr="00C37BC5">
        <w:t xml:space="preserve"> </w:t>
      </w:r>
      <w:r w:rsidR="00B6386C">
        <w:t>qu’il s’agisse des canaux de diffusion de l’information (</w:t>
      </w:r>
      <w:r w:rsidR="00871EE6" w:rsidRPr="00C37BC5">
        <w:t>presse, radio, télévision) du territoire</w:t>
      </w:r>
      <w:r w:rsidR="00B6386C">
        <w:t>,</w:t>
      </w:r>
      <w:r w:rsidR="00D87947">
        <w:t xml:space="preserve"> ou</w:t>
      </w:r>
      <w:r w:rsidR="00B6386C">
        <w:t xml:space="preserve"> de ses conséquences </w:t>
      </w:r>
      <w:r w:rsidR="00BD23EF">
        <w:t>culturelles</w:t>
      </w:r>
      <w:r w:rsidR="00B6386C">
        <w:t xml:space="preserve"> </w:t>
      </w:r>
      <w:r w:rsidR="00D87947">
        <w:t xml:space="preserve">et </w:t>
      </w:r>
      <w:r w:rsidR="00B6386C">
        <w:t>linguistiques</w:t>
      </w:r>
      <w:r w:rsidR="00183E8F" w:rsidRPr="00C37BC5">
        <w:rPr>
          <w:rStyle w:val="Appelnotedebasdep"/>
        </w:rPr>
        <w:footnoteReference w:id="40"/>
      </w:r>
      <w:r w:rsidR="00871EE6" w:rsidRPr="00C37BC5">
        <w:t>.</w:t>
      </w:r>
      <w:r w:rsidR="00F214FC">
        <w:t xml:space="preserve"> Dans ce domaine comme dans les autres, </w:t>
      </w:r>
      <w:r w:rsidR="00192816">
        <w:t>des</w:t>
      </w:r>
      <w:r w:rsidR="00F214FC">
        <w:t xml:space="preserve"> comparaison</w:t>
      </w:r>
      <w:r w:rsidR="00192816">
        <w:t>s</w:t>
      </w:r>
      <w:r w:rsidR="00F214FC">
        <w:t xml:space="preserve"> avec les autres territoires nucléarisés</w:t>
      </w:r>
      <w:r w:rsidR="00192816">
        <w:t xml:space="preserve"> sont </w:t>
      </w:r>
      <w:proofErr w:type="spellStart"/>
      <w:r w:rsidR="00192816">
        <w:t>atten</w:t>
      </w:r>
      <w:proofErr w:type="spellEnd"/>
    </w:p>
    <w:p w14:paraId="49F4FF2F" w14:textId="77777777" w:rsidR="00636A38" w:rsidRDefault="00636A38" w:rsidP="00C37BC5">
      <w:pPr>
        <w:spacing w:after="0"/>
        <w:ind w:firstLine="708"/>
      </w:pPr>
    </w:p>
    <w:p w14:paraId="1762735F" w14:textId="50175369" w:rsidR="00636A38" w:rsidRPr="00636A38" w:rsidRDefault="00636A38" w:rsidP="00636A38">
      <w:pPr>
        <w:rPr>
          <w:b/>
          <w:bCs/>
        </w:rPr>
      </w:pPr>
      <w:r>
        <w:t xml:space="preserve">Les propositions (résumé et courte présentation bio-bibliographique, une page maximum), pouvant concerner les différents sites d’essais dans le Pacifique ou les comparer, sont à soumettre </w:t>
      </w:r>
      <w:r w:rsidRPr="00131FA6">
        <w:rPr>
          <w:b/>
          <w:bCs/>
        </w:rPr>
        <w:t>avant le 15 février 2025</w:t>
      </w:r>
      <w:r>
        <w:t xml:space="preserve"> à </w:t>
      </w:r>
      <w:hyperlink r:id="rId8" w:history="1">
        <w:r w:rsidRPr="00B135D8">
          <w:rPr>
            <w:rStyle w:val="Lienhypertexte"/>
            <w:b/>
            <w:bCs/>
          </w:rPr>
          <w:t>circulations.cep@gmail.com</w:t>
        </w:r>
      </w:hyperlink>
    </w:p>
    <w:p w14:paraId="3AA481FB" w14:textId="77777777" w:rsidR="00444A77" w:rsidRPr="00C37BC5" w:rsidRDefault="00444A77" w:rsidP="00C37BC5">
      <w:pPr>
        <w:spacing w:after="0"/>
        <w:ind w:firstLine="708"/>
      </w:pPr>
    </w:p>
    <w:bookmarkEnd w:id="0"/>
    <w:p w14:paraId="5D8AB453" w14:textId="35A2F26B" w:rsidR="003312D2" w:rsidRDefault="00432802" w:rsidP="00432802">
      <w:pPr>
        <w:pStyle w:val="Titre2"/>
      </w:pPr>
      <w:r>
        <w:t xml:space="preserve">Comité d’organisation </w:t>
      </w:r>
    </w:p>
    <w:p w14:paraId="27DAA48B" w14:textId="77777777" w:rsidR="00432802" w:rsidRDefault="00432802" w:rsidP="00432802"/>
    <w:p w14:paraId="38148961" w14:textId="318725DE" w:rsidR="00432802" w:rsidRDefault="00432802" w:rsidP="00432802">
      <w:r>
        <w:t xml:space="preserve">Régis </w:t>
      </w:r>
      <w:proofErr w:type="spellStart"/>
      <w:r>
        <w:t>Boulat</w:t>
      </w:r>
      <w:proofErr w:type="spellEnd"/>
      <w:r>
        <w:t xml:space="preserve"> (UHA), Benjamin </w:t>
      </w:r>
      <w:proofErr w:type="spellStart"/>
      <w:r>
        <w:t>Furst</w:t>
      </w:r>
      <w:proofErr w:type="spellEnd"/>
      <w:r>
        <w:t xml:space="preserve"> (UHA), Renaud </w:t>
      </w:r>
      <w:proofErr w:type="spellStart"/>
      <w:r>
        <w:t>Meltz</w:t>
      </w:r>
      <w:proofErr w:type="spellEnd"/>
      <w:r>
        <w:t xml:space="preserve"> (MSH-P), Florence </w:t>
      </w:r>
      <w:proofErr w:type="spellStart"/>
      <w:r>
        <w:t>Mury</w:t>
      </w:r>
      <w:proofErr w:type="spellEnd"/>
      <w:r>
        <w:t xml:space="preserve"> (MSH-P)</w:t>
      </w:r>
      <w:r w:rsidR="009D2C38">
        <w:t xml:space="preserve">, </w:t>
      </w:r>
      <w:proofErr w:type="spellStart"/>
      <w:r w:rsidR="009D2C38">
        <w:t>Manatea</w:t>
      </w:r>
      <w:proofErr w:type="spellEnd"/>
      <w:r w:rsidR="009D2C38">
        <w:t xml:space="preserve"> </w:t>
      </w:r>
      <w:proofErr w:type="spellStart"/>
      <w:r w:rsidR="009D2C38">
        <w:t>Taiarui</w:t>
      </w:r>
      <w:proofErr w:type="spellEnd"/>
      <w:r w:rsidR="009D2C38">
        <w:t xml:space="preserve"> (MSH-P)</w:t>
      </w:r>
      <w:r w:rsidR="004F53FB">
        <w:t xml:space="preserve">. </w:t>
      </w:r>
    </w:p>
    <w:p w14:paraId="6BBA474A" w14:textId="07357DEA" w:rsidR="00432802" w:rsidRDefault="00432802" w:rsidP="00432802">
      <w:pPr>
        <w:pStyle w:val="Titre2"/>
      </w:pPr>
      <w:r>
        <w:t xml:space="preserve">Comité scientifique </w:t>
      </w:r>
    </w:p>
    <w:p w14:paraId="7B38C6F5" w14:textId="77777777" w:rsidR="00432802" w:rsidRDefault="00432802" w:rsidP="00432802"/>
    <w:p w14:paraId="0393F5B9" w14:textId="1C7E132B" w:rsidR="00432802" w:rsidRPr="00432802" w:rsidRDefault="009D2C38" w:rsidP="00432802">
      <w:r>
        <w:t>Sarah Bernard (</w:t>
      </w:r>
      <w:r w:rsidR="004E5BB0">
        <w:t>Pau)</w:t>
      </w:r>
      <w:r w:rsidR="00E02627">
        <w:t xml:space="preserve">, </w:t>
      </w:r>
      <w:r w:rsidR="00432802">
        <w:t>Yves Bouvier (Rouen)</w:t>
      </w:r>
      <w:r w:rsidR="00E02627">
        <w:t xml:space="preserve">, </w:t>
      </w:r>
      <w:r w:rsidR="00432802">
        <w:t xml:space="preserve">Marie </w:t>
      </w:r>
      <w:proofErr w:type="spellStart"/>
      <w:r w:rsidR="00432802">
        <w:t>Brualla</w:t>
      </w:r>
      <w:proofErr w:type="spellEnd"/>
      <w:r w:rsidR="00432802">
        <w:t xml:space="preserve"> (Montpellier)</w:t>
      </w:r>
      <w:r w:rsidR="00E02627">
        <w:t xml:space="preserve">, </w:t>
      </w:r>
      <w:r w:rsidR="00432802" w:rsidRPr="00432802">
        <w:t>Antoine Burgard (Manchester)</w:t>
      </w:r>
      <w:r w:rsidR="00E02627">
        <w:t xml:space="preserve">, </w:t>
      </w:r>
      <w:r w:rsidR="00432802">
        <w:t>Patrick Chardon (Clermont)</w:t>
      </w:r>
      <w:r w:rsidR="00E02627">
        <w:t xml:space="preserve">, </w:t>
      </w:r>
      <w:r w:rsidR="00432802" w:rsidRPr="00432802">
        <w:t xml:space="preserve">Quentin </w:t>
      </w:r>
      <w:proofErr w:type="spellStart"/>
      <w:r w:rsidR="00432802" w:rsidRPr="00432802">
        <w:t>Comminsoli</w:t>
      </w:r>
      <w:proofErr w:type="spellEnd"/>
      <w:r w:rsidR="00432802" w:rsidRPr="00432802">
        <w:t xml:space="preserve"> (IEP Aix)</w:t>
      </w:r>
      <w:r w:rsidR="00E02627">
        <w:t xml:space="preserve">, </w:t>
      </w:r>
      <w:r w:rsidR="00432802">
        <w:t xml:space="preserve">Victoria </w:t>
      </w:r>
      <w:proofErr w:type="spellStart"/>
      <w:r w:rsidR="00432802">
        <w:t>Devars</w:t>
      </w:r>
      <w:proofErr w:type="spellEnd"/>
      <w:r w:rsidR="00432802">
        <w:t xml:space="preserve"> (Oxford)</w:t>
      </w:r>
      <w:r w:rsidR="00E02627">
        <w:t xml:space="preserve">, </w:t>
      </w:r>
      <w:proofErr w:type="spellStart"/>
      <w:r w:rsidR="00432802" w:rsidRPr="008D7DF8">
        <w:t>Mililani</w:t>
      </w:r>
      <w:proofErr w:type="spellEnd"/>
      <w:r w:rsidR="00432802" w:rsidRPr="008D7DF8">
        <w:t xml:space="preserve"> Ganivet (British Museum)</w:t>
      </w:r>
      <w:r w:rsidR="00E02627">
        <w:t xml:space="preserve">, </w:t>
      </w:r>
      <w:r w:rsidR="00432802" w:rsidRPr="00432802">
        <w:t>Géraldine Giraudeau (Sacla</w:t>
      </w:r>
      <w:r w:rsidR="00432802">
        <w:t>y</w:t>
      </w:r>
      <w:r w:rsidR="00D96760">
        <w:t xml:space="preserve"> </w:t>
      </w:r>
      <w:r w:rsidR="00432802">
        <w:t>IUF)</w:t>
      </w:r>
      <w:r w:rsidR="00E02627">
        <w:t xml:space="preserve">, </w:t>
      </w:r>
      <w:proofErr w:type="spellStart"/>
      <w:r w:rsidR="00432802" w:rsidRPr="008D7DF8">
        <w:t>Masatoshi</w:t>
      </w:r>
      <w:proofErr w:type="spellEnd"/>
      <w:r w:rsidR="00432802" w:rsidRPr="008D7DF8">
        <w:t xml:space="preserve"> Inoue (EHESS)</w:t>
      </w:r>
      <w:r w:rsidR="00E02627">
        <w:t xml:space="preserve">, </w:t>
      </w:r>
      <w:r w:rsidR="00432802" w:rsidRPr="00E02627">
        <w:t>Maxime Launay (IRSEM)</w:t>
      </w:r>
      <w:r w:rsidR="00E02627">
        <w:t xml:space="preserve">, </w:t>
      </w:r>
      <w:r w:rsidRPr="00E02627">
        <w:t xml:space="preserve">Stéphane </w:t>
      </w:r>
      <w:proofErr w:type="spellStart"/>
      <w:r w:rsidRPr="00E02627">
        <w:t>Launey</w:t>
      </w:r>
      <w:proofErr w:type="spellEnd"/>
      <w:r w:rsidRPr="00E02627">
        <w:t xml:space="preserve"> (CRESAT)</w:t>
      </w:r>
      <w:r w:rsidR="00E02627">
        <w:t xml:space="preserve">, </w:t>
      </w:r>
      <w:r w:rsidRPr="009D2C38">
        <w:t>Noémie Marqu</w:t>
      </w:r>
      <w:r>
        <w:t>es-</w:t>
      </w:r>
      <w:proofErr w:type="spellStart"/>
      <w:r>
        <w:t>Verhille</w:t>
      </w:r>
      <w:proofErr w:type="spellEnd"/>
      <w:r>
        <w:t xml:space="preserve"> (Bordeaux Montaigne)</w:t>
      </w:r>
      <w:r w:rsidR="00E02627">
        <w:t xml:space="preserve">, </w:t>
      </w:r>
      <w:proofErr w:type="spellStart"/>
      <w:r w:rsidR="00432802" w:rsidRPr="00E02627">
        <w:t>Teva</w:t>
      </w:r>
      <w:proofErr w:type="spellEnd"/>
      <w:r w:rsidR="00432802" w:rsidRPr="00E02627">
        <w:t xml:space="preserve"> Meyer (UHA)</w:t>
      </w:r>
      <w:r w:rsidR="00E02627">
        <w:t xml:space="preserve">, </w:t>
      </w:r>
      <w:r w:rsidRPr="00E02627">
        <w:t>Sarah Mohamed-Gaillard (INALCO)</w:t>
      </w:r>
      <w:r w:rsidR="00E02627">
        <w:t xml:space="preserve">, </w:t>
      </w:r>
      <w:r w:rsidRPr="008D7DF8">
        <w:t>Benoit Pouget (IEP Aix)</w:t>
      </w:r>
      <w:r w:rsidR="00E02627">
        <w:t xml:space="preserve">, </w:t>
      </w:r>
      <w:r w:rsidR="00432802" w:rsidRPr="009D2C38">
        <w:t xml:space="preserve">Marcello </w:t>
      </w:r>
      <w:proofErr w:type="spellStart"/>
      <w:r w:rsidR="00432802" w:rsidRPr="009D2C38">
        <w:t>Putorti</w:t>
      </w:r>
      <w:proofErr w:type="spellEnd"/>
      <w:r w:rsidR="00432802" w:rsidRPr="009D2C38">
        <w:t xml:space="preserve"> (UHA)</w:t>
      </w:r>
      <w:r w:rsidR="00E02627">
        <w:t xml:space="preserve">, </w:t>
      </w:r>
      <w:r w:rsidR="00432802">
        <w:t xml:space="preserve">Marie </w:t>
      </w:r>
      <w:proofErr w:type="spellStart"/>
      <w:r w:rsidR="00432802">
        <w:t>Salaun</w:t>
      </w:r>
      <w:proofErr w:type="spellEnd"/>
      <w:r w:rsidR="00432802">
        <w:t xml:space="preserve"> (Paris Cité)</w:t>
      </w:r>
      <w:r w:rsidR="00E02627">
        <w:t xml:space="preserve">, </w:t>
      </w:r>
      <w:r>
        <w:t xml:space="preserve">Marianna </w:t>
      </w:r>
      <w:proofErr w:type="spellStart"/>
      <w:r>
        <w:t>Scarfone</w:t>
      </w:r>
      <w:proofErr w:type="spellEnd"/>
      <w:r>
        <w:t xml:space="preserve"> (Strasbourg IUF)</w:t>
      </w:r>
      <w:r w:rsidR="00E02627">
        <w:t xml:space="preserve">, </w:t>
      </w:r>
      <w:r w:rsidR="00432802" w:rsidRPr="00432802">
        <w:t xml:space="preserve">Jacques </w:t>
      </w:r>
      <w:proofErr w:type="spellStart"/>
      <w:r w:rsidR="00432802" w:rsidRPr="00432802">
        <w:t>Vernaudon</w:t>
      </w:r>
      <w:proofErr w:type="spellEnd"/>
      <w:r w:rsidR="00432802" w:rsidRPr="00432802">
        <w:t xml:space="preserve"> (UPF)</w:t>
      </w:r>
    </w:p>
    <w:sectPr w:rsidR="00432802" w:rsidRPr="00432802" w:rsidSect="00BE5371">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4749E" w14:textId="77777777" w:rsidR="00892152" w:rsidRDefault="00892152" w:rsidP="003401B8">
      <w:pPr>
        <w:spacing w:after="0" w:line="240" w:lineRule="auto"/>
      </w:pPr>
      <w:r>
        <w:separator/>
      </w:r>
    </w:p>
  </w:endnote>
  <w:endnote w:type="continuationSeparator" w:id="0">
    <w:p w14:paraId="58F0428B" w14:textId="77777777" w:rsidR="00892152" w:rsidRDefault="00892152" w:rsidP="003401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2"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Times">
    <w:panose1 w:val="00000500000000020000"/>
    <w:charset w:val="00"/>
    <w:family w:val="auto"/>
    <w:pitch w:val="variable"/>
    <w:sig w:usb0="E00002FF" w:usb1="5000205A"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ED3B56" w14:textId="77777777" w:rsidR="00892152" w:rsidRDefault="00892152" w:rsidP="003401B8">
      <w:pPr>
        <w:spacing w:after="0" w:line="240" w:lineRule="auto"/>
      </w:pPr>
      <w:r>
        <w:separator/>
      </w:r>
    </w:p>
  </w:footnote>
  <w:footnote w:type="continuationSeparator" w:id="0">
    <w:p w14:paraId="12E2CEFB" w14:textId="77777777" w:rsidR="00892152" w:rsidRDefault="00892152" w:rsidP="003401B8">
      <w:pPr>
        <w:spacing w:after="0" w:line="240" w:lineRule="auto"/>
      </w:pPr>
      <w:r>
        <w:continuationSeparator/>
      </w:r>
    </w:p>
  </w:footnote>
  <w:footnote w:id="1">
    <w:p w14:paraId="3F9375F2" w14:textId="72D837B7" w:rsidR="00D46A36" w:rsidRDefault="00D46A36" w:rsidP="00D46A36">
      <w:pPr>
        <w:pStyle w:val="notesbdp"/>
        <w:spacing w:after="0"/>
      </w:pPr>
      <w:r>
        <w:rPr>
          <w:rStyle w:val="Appelnotedebasdep"/>
        </w:rPr>
        <w:footnoteRef/>
      </w:r>
      <w:r>
        <w:t xml:space="preserve"> Benjamin </w:t>
      </w:r>
      <w:proofErr w:type="spellStart"/>
      <w:r>
        <w:t>Furst</w:t>
      </w:r>
      <w:proofErr w:type="spellEnd"/>
      <w:r>
        <w:t xml:space="preserve">, Renaud </w:t>
      </w:r>
      <w:proofErr w:type="spellStart"/>
      <w:r>
        <w:t>Meltz</w:t>
      </w:r>
      <w:proofErr w:type="spellEnd"/>
      <w:r>
        <w:t xml:space="preserve">, Alexis </w:t>
      </w:r>
      <w:proofErr w:type="spellStart"/>
      <w:r>
        <w:t>Vrignon</w:t>
      </w:r>
      <w:proofErr w:type="spellEnd"/>
      <w:r>
        <w:t xml:space="preserve">, </w:t>
      </w:r>
      <w:r w:rsidRPr="00D87D00">
        <w:rPr>
          <w:i/>
          <w:iCs/>
        </w:rPr>
        <w:t>Un Deuxième contact ? Histoire et mémoires du Centre d’Expérimentation du Pacifique</w:t>
      </w:r>
      <w:r>
        <w:t xml:space="preserve">, </w:t>
      </w:r>
      <w:r w:rsidRPr="0025445E">
        <w:t>éditions de la MSH</w:t>
      </w:r>
      <w:r>
        <w:t xml:space="preserve"> du Pacifique, à paraître en 2024.</w:t>
      </w:r>
    </w:p>
  </w:footnote>
  <w:footnote w:id="2">
    <w:p w14:paraId="0E9C3674" w14:textId="77777777" w:rsidR="00726586" w:rsidRPr="00E10242" w:rsidRDefault="00726586" w:rsidP="00D46A36">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George Balandier, « La situation coloniale : approche théorique », Cahiers internationaux de sociologie, vol. 51,</w:t>
      </w:r>
    </w:p>
    <w:p w14:paraId="19E1BC9C" w14:textId="60CEBF15" w:rsidR="00726586" w:rsidRPr="00E10242" w:rsidRDefault="00726586" w:rsidP="00C53E52">
      <w:pPr>
        <w:pStyle w:val="notesbdp"/>
        <w:spacing w:after="0"/>
        <w:rPr>
          <w:rFonts w:ascii="Times" w:hAnsi="Times"/>
        </w:rPr>
      </w:pPr>
      <w:r w:rsidRPr="00E10242">
        <w:rPr>
          <w:rFonts w:ascii="Times" w:hAnsi="Times"/>
        </w:rPr>
        <w:t xml:space="preserve">1951, pp. 44-79. G. Balandier est revenu lui-même sur ce </w:t>
      </w:r>
      <w:r w:rsidR="006600BE" w:rsidRPr="00E10242">
        <w:rPr>
          <w:rFonts w:ascii="Times" w:hAnsi="Times"/>
        </w:rPr>
        <w:t>concept</w:t>
      </w:r>
      <w:r w:rsidRPr="00E10242">
        <w:rPr>
          <w:rFonts w:ascii="Times" w:hAnsi="Times"/>
        </w:rPr>
        <w:t xml:space="preserve"> dans « La situation coloniale. Ancien concept, nouvelle réalité », </w:t>
      </w:r>
      <w:r w:rsidRPr="004371C7">
        <w:rPr>
          <w:rFonts w:ascii="Times" w:hAnsi="Times"/>
          <w:i/>
          <w:iCs/>
        </w:rPr>
        <w:t xml:space="preserve">French </w:t>
      </w:r>
      <w:proofErr w:type="spellStart"/>
      <w:r w:rsidRPr="004371C7">
        <w:rPr>
          <w:rFonts w:ascii="Times" w:hAnsi="Times"/>
          <w:i/>
          <w:iCs/>
        </w:rPr>
        <w:t>Politics</w:t>
      </w:r>
      <w:proofErr w:type="spellEnd"/>
      <w:r w:rsidRPr="004371C7">
        <w:rPr>
          <w:rFonts w:ascii="Times" w:hAnsi="Times"/>
          <w:i/>
          <w:iCs/>
        </w:rPr>
        <w:t>, Culture and Society</w:t>
      </w:r>
      <w:r w:rsidRPr="00E10242">
        <w:rPr>
          <w:rFonts w:ascii="Times" w:hAnsi="Times"/>
        </w:rPr>
        <w:t>,</w:t>
      </w:r>
      <w:r w:rsidR="00FE0557" w:rsidRPr="00E10242">
        <w:rPr>
          <w:rFonts w:ascii="Times" w:hAnsi="Times"/>
        </w:rPr>
        <w:t xml:space="preserve"> </w:t>
      </w:r>
      <w:r w:rsidRPr="00E10242">
        <w:rPr>
          <w:rFonts w:ascii="Times" w:hAnsi="Times"/>
        </w:rPr>
        <w:t>vol. 20, n° 2, 2002, pp. 4-10</w:t>
      </w:r>
    </w:p>
  </w:footnote>
  <w:footnote w:id="3">
    <w:p w14:paraId="040D768E" w14:textId="77777777" w:rsidR="00FE0557" w:rsidRPr="00E10242" w:rsidRDefault="00FE0557"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w:t>
      </w:r>
      <w:r w:rsidRPr="00E10242">
        <w:rPr>
          <w:rFonts w:ascii="Times" w:hAnsi="Times"/>
          <w:lang w:eastAsia="fr-FR"/>
        </w:rPr>
        <w:t xml:space="preserve">Isabelle Merle, « La situation coloniale » chez Georges Balandier Relecture historienne. </w:t>
      </w:r>
      <w:r w:rsidRPr="00E10242">
        <w:rPr>
          <w:rFonts w:ascii="Times" w:hAnsi="Times"/>
          <w:i/>
          <w:iCs/>
          <w:lang w:eastAsia="fr-FR"/>
        </w:rPr>
        <w:t xml:space="preserve">Monde(s) </w:t>
      </w:r>
      <w:r w:rsidRPr="00E10242">
        <w:rPr>
          <w:rFonts w:ascii="Times" w:hAnsi="Times"/>
          <w:lang w:eastAsia="fr-FR"/>
        </w:rPr>
        <w:t>2013/2 N° 4, p. 211-232.</w:t>
      </w:r>
    </w:p>
  </w:footnote>
  <w:footnote w:id="4">
    <w:p w14:paraId="1389DCD0" w14:textId="7EE77F51" w:rsidR="00461F81" w:rsidRPr="00E10242" w:rsidRDefault="00461F81" w:rsidP="00C53E52">
      <w:pPr>
        <w:pStyle w:val="notesbdp"/>
        <w:spacing w:after="0"/>
        <w:rPr>
          <w:rFonts w:ascii="Times" w:hAnsi="Times"/>
          <w:i/>
          <w:iCs/>
        </w:rPr>
      </w:pPr>
      <w:r w:rsidRPr="00E10242">
        <w:rPr>
          <w:rStyle w:val="Appelnotedebasdep"/>
          <w:rFonts w:ascii="Times" w:hAnsi="Times" w:cs="Times New Roman"/>
        </w:rPr>
        <w:footnoteRef/>
      </w:r>
      <w:r w:rsidRPr="00E10242">
        <w:rPr>
          <w:rFonts w:ascii="Times" w:hAnsi="Times"/>
        </w:rPr>
        <w:t xml:space="preserve"> Employé par </w:t>
      </w:r>
      <w:r w:rsidR="00EE48E8" w:rsidRPr="00E10242">
        <w:rPr>
          <w:rFonts w:ascii="Times" w:hAnsi="Times"/>
        </w:rPr>
        <w:t xml:space="preserve">nous-même dans </w:t>
      </w:r>
      <w:r w:rsidR="00C63914">
        <w:rPr>
          <w:rFonts w:ascii="Times" w:hAnsi="Times"/>
        </w:rPr>
        <w:t>R.</w:t>
      </w:r>
      <w:r w:rsidR="00A90EDF" w:rsidRPr="00E10242">
        <w:rPr>
          <w:rFonts w:ascii="Times" w:hAnsi="Times"/>
        </w:rPr>
        <w:t xml:space="preserve"> </w:t>
      </w:r>
      <w:proofErr w:type="spellStart"/>
      <w:r w:rsidR="00A90EDF" w:rsidRPr="00E10242">
        <w:rPr>
          <w:rFonts w:ascii="Times" w:hAnsi="Times"/>
        </w:rPr>
        <w:t>Meltz</w:t>
      </w:r>
      <w:proofErr w:type="spellEnd"/>
      <w:r w:rsidR="00A90EDF" w:rsidRPr="00E10242">
        <w:rPr>
          <w:rFonts w:ascii="Times" w:hAnsi="Times"/>
        </w:rPr>
        <w:t xml:space="preserve">, Alexis </w:t>
      </w:r>
      <w:proofErr w:type="spellStart"/>
      <w:r w:rsidR="00A90EDF" w:rsidRPr="00E10242">
        <w:rPr>
          <w:rFonts w:ascii="Times" w:hAnsi="Times"/>
        </w:rPr>
        <w:t>Vrignon</w:t>
      </w:r>
      <w:proofErr w:type="spellEnd"/>
      <w:r w:rsidR="00A90EDF" w:rsidRPr="00E10242">
        <w:rPr>
          <w:rFonts w:ascii="Times" w:hAnsi="Times"/>
        </w:rPr>
        <w:t>,</w:t>
      </w:r>
      <w:r w:rsidR="00A90EDF" w:rsidRPr="00E10242">
        <w:rPr>
          <w:rFonts w:ascii="Times" w:hAnsi="Times"/>
          <w:i/>
          <w:iCs/>
        </w:rPr>
        <w:t xml:space="preserve"> </w:t>
      </w:r>
      <w:r w:rsidR="00EE48E8" w:rsidRPr="00E10242">
        <w:rPr>
          <w:rFonts w:ascii="Times" w:hAnsi="Times"/>
          <w:i/>
          <w:iCs/>
        </w:rPr>
        <w:t>Des bombes en Polynésie.</w:t>
      </w:r>
      <w:r w:rsidR="00A90EDF" w:rsidRPr="00E10242">
        <w:rPr>
          <w:rFonts w:ascii="Times" w:hAnsi="Times"/>
          <w:i/>
          <w:iCs/>
        </w:rPr>
        <w:t xml:space="preserve"> </w:t>
      </w:r>
      <w:r w:rsidR="00A90EDF" w:rsidRPr="00E10242">
        <w:rPr>
          <w:rFonts w:ascii="Times" w:hAnsi="Times"/>
          <w:i/>
        </w:rPr>
        <w:t>Les essais nucléaires français dans le Pacifique</w:t>
      </w:r>
      <w:r w:rsidR="00A90EDF" w:rsidRPr="00E10242">
        <w:rPr>
          <w:rFonts w:ascii="Times" w:hAnsi="Times"/>
        </w:rPr>
        <w:t>, Vendémiaire, 2022.</w:t>
      </w:r>
    </w:p>
  </w:footnote>
  <w:footnote w:id="5">
    <w:p w14:paraId="2AE8C605" w14:textId="4CD6A0C3" w:rsidR="00DB00A0" w:rsidRPr="00E10242" w:rsidRDefault="00DB00A0" w:rsidP="00C53E52">
      <w:pPr>
        <w:pStyle w:val="notesbdp"/>
        <w:spacing w:after="0"/>
        <w:rPr>
          <w:rFonts w:ascii="Times" w:hAnsi="Times"/>
          <w:lang w:val="en-US"/>
        </w:rPr>
      </w:pPr>
      <w:r w:rsidRPr="00E10242">
        <w:rPr>
          <w:rStyle w:val="Appelnotedebasdep"/>
          <w:rFonts w:ascii="Times" w:hAnsi="Times" w:cs="Times New Roman"/>
        </w:rPr>
        <w:footnoteRef/>
      </w:r>
      <w:r w:rsidRPr="00E10242">
        <w:rPr>
          <w:rFonts w:ascii="Times" w:hAnsi="Times"/>
        </w:rPr>
        <w:t xml:space="preserve"> Jane Burbank et Frederick Cooper, </w:t>
      </w:r>
      <w:r w:rsidRPr="00E10242">
        <w:rPr>
          <w:rStyle w:val="Accentuation"/>
          <w:rFonts w:ascii="Times" w:hAnsi="Times" w:cs="Times New Roman"/>
        </w:rPr>
        <w:t xml:space="preserve">Empires in </w:t>
      </w:r>
      <w:proofErr w:type="spellStart"/>
      <w:r w:rsidR="00C913AB" w:rsidRPr="00E10242">
        <w:rPr>
          <w:rStyle w:val="Accentuation"/>
          <w:rFonts w:ascii="Times" w:hAnsi="Times" w:cs="Times New Roman"/>
        </w:rPr>
        <w:t>Wordld</w:t>
      </w:r>
      <w:proofErr w:type="spellEnd"/>
      <w:r w:rsidRPr="00E10242">
        <w:rPr>
          <w:rStyle w:val="Accentuation"/>
          <w:rFonts w:ascii="Times" w:hAnsi="Times" w:cs="Times New Roman"/>
        </w:rPr>
        <w:t xml:space="preserve"> </w:t>
      </w:r>
      <w:proofErr w:type="spellStart"/>
      <w:r w:rsidRPr="00E10242">
        <w:rPr>
          <w:rStyle w:val="Accentuation"/>
          <w:rFonts w:ascii="Times" w:hAnsi="Times" w:cs="Times New Roman"/>
        </w:rPr>
        <w:t>History</w:t>
      </w:r>
      <w:proofErr w:type="spellEnd"/>
      <w:r w:rsidR="00E10242" w:rsidRPr="00E10242">
        <w:rPr>
          <w:rStyle w:val="Accentuation"/>
          <w:rFonts w:ascii="Times" w:hAnsi="Times" w:cs="Times New Roman"/>
        </w:rPr>
        <w:t xml:space="preserve">. </w:t>
      </w:r>
      <w:r w:rsidR="00E10242" w:rsidRPr="00E10242">
        <w:rPr>
          <w:rFonts w:ascii="Times" w:hAnsi="Times"/>
          <w:i/>
          <w:iCs/>
          <w:lang w:val="en-US"/>
        </w:rPr>
        <w:t>Power and the Politics of Difference</w:t>
      </w:r>
      <w:r w:rsidR="00E10242" w:rsidRPr="00E10242">
        <w:rPr>
          <w:rFonts w:ascii="Times" w:hAnsi="Times"/>
          <w:lang w:val="en-US"/>
        </w:rPr>
        <w:t>, Princeton, Princeton University Press</w:t>
      </w:r>
      <w:r w:rsidR="007D785D" w:rsidRPr="00E10242">
        <w:rPr>
          <w:rStyle w:val="Accentuation"/>
          <w:rFonts w:ascii="Times" w:hAnsi="Times" w:cs="Times New Roman"/>
          <w:i w:val="0"/>
          <w:iCs w:val="0"/>
          <w:lang w:val="en-US"/>
        </w:rPr>
        <w:t xml:space="preserve">, 2010. </w:t>
      </w:r>
    </w:p>
  </w:footnote>
  <w:footnote w:id="6">
    <w:p w14:paraId="3F0178F8" w14:textId="2815F251" w:rsidR="003707BA" w:rsidRPr="00E10242" w:rsidRDefault="003707BA" w:rsidP="00C53E52">
      <w:pPr>
        <w:pStyle w:val="notesbdp"/>
        <w:spacing w:after="0"/>
        <w:rPr>
          <w:rFonts w:ascii="Times" w:hAnsi="Times"/>
          <w:lang w:val="en-US"/>
        </w:rPr>
      </w:pPr>
      <w:r w:rsidRPr="00E10242">
        <w:rPr>
          <w:rStyle w:val="Appelnotedebasdep"/>
          <w:rFonts w:ascii="Times" w:hAnsi="Times" w:cs="Times New Roman"/>
        </w:rPr>
        <w:footnoteRef/>
      </w:r>
      <w:r w:rsidRPr="00E10242">
        <w:rPr>
          <w:rFonts w:ascii="Times" w:hAnsi="Times"/>
          <w:lang w:val="en-US"/>
        </w:rPr>
        <w:t xml:space="preserve"> </w:t>
      </w:r>
      <w:r w:rsidR="003312D2" w:rsidRPr="00E10242">
        <w:rPr>
          <w:rFonts w:ascii="Times" w:hAnsi="Times"/>
          <w:lang w:val="en-US"/>
        </w:rPr>
        <w:t xml:space="preserve">Christopher Hill, Britain, West Africa and ‘The New Nuclear Imperialism’: </w:t>
      </w:r>
      <w:proofErr w:type="spellStart"/>
      <w:r w:rsidR="003312D2" w:rsidRPr="00E10242">
        <w:rPr>
          <w:rFonts w:ascii="Times" w:hAnsi="Times"/>
          <w:lang w:val="en-US"/>
        </w:rPr>
        <w:t>Decolonisation</w:t>
      </w:r>
      <w:proofErr w:type="spellEnd"/>
      <w:r w:rsidR="003312D2" w:rsidRPr="00E10242">
        <w:rPr>
          <w:rFonts w:ascii="Times" w:hAnsi="Times"/>
          <w:lang w:val="en-US"/>
        </w:rPr>
        <w:t xml:space="preserve"> and Development during French tests, Contemporary British History (2019) 33:1, 274-289. Christopher Hill, </w:t>
      </w:r>
      <w:proofErr w:type="spellStart"/>
      <w:r w:rsidR="003312D2" w:rsidRPr="00E10242">
        <w:rPr>
          <w:rFonts w:ascii="Times" w:hAnsi="Times"/>
          <w:lang w:val="en-US"/>
        </w:rPr>
        <w:t>Clémence</w:t>
      </w:r>
      <w:proofErr w:type="spellEnd"/>
      <w:r w:rsidR="003312D2" w:rsidRPr="00E10242">
        <w:rPr>
          <w:rFonts w:ascii="Times" w:hAnsi="Times"/>
          <w:lang w:val="en-US"/>
        </w:rPr>
        <w:t xml:space="preserve"> </w:t>
      </w:r>
      <w:proofErr w:type="spellStart"/>
      <w:r w:rsidR="003312D2" w:rsidRPr="00E10242">
        <w:rPr>
          <w:rFonts w:ascii="Times" w:hAnsi="Times"/>
          <w:lang w:val="en-US"/>
        </w:rPr>
        <w:t>Maillochon</w:t>
      </w:r>
      <w:proofErr w:type="spellEnd"/>
      <w:r w:rsidR="003312D2" w:rsidRPr="00E10242">
        <w:rPr>
          <w:rFonts w:ascii="Times" w:hAnsi="Times"/>
          <w:lang w:val="en-US"/>
        </w:rPr>
        <w:t xml:space="preserve"> ‘Stealing Fire from Heaven’: Odette du </w:t>
      </w:r>
      <w:proofErr w:type="spellStart"/>
      <w:r w:rsidR="003312D2" w:rsidRPr="00E10242">
        <w:rPr>
          <w:rFonts w:ascii="Times" w:hAnsi="Times"/>
          <w:lang w:val="en-US"/>
        </w:rPr>
        <w:t>Puigaudeau</w:t>
      </w:r>
      <w:proofErr w:type="spellEnd"/>
      <w:r w:rsidR="003312D2" w:rsidRPr="00E10242">
        <w:rPr>
          <w:rFonts w:ascii="Times" w:hAnsi="Times"/>
          <w:lang w:val="en-US"/>
        </w:rPr>
        <w:t xml:space="preserve"> and French Nuclear Colonialism in the Sahara, 1960-1966, </w:t>
      </w:r>
      <w:r w:rsidR="003312D2" w:rsidRPr="00E10242">
        <w:rPr>
          <w:rFonts w:ascii="Times" w:hAnsi="Times"/>
          <w:i/>
          <w:iCs/>
          <w:lang w:val="en-US"/>
        </w:rPr>
        <w:t>International Review of Environmental History</w:t>
      </w:r>
      <w:r w:rsidR="00FF7267" w:rsidRPr="00E10242">
        <w:rPr>
          <w:rFonts w:ascii="Times" w:hAnsi="Times"/>
          <w:lang w:val="en-US"/>
        </w:rPr>
        <w:t xml:space="preserve">, </w:t>
      </w:r>
      <w:r w:rsidR="003312D2" w:rsidRPr="00E10242">
        <w:rPr>
          <w:rFonts w:ascii="Times" w:hAnsi="Times"/>
          <w:lang w:val="en-US"/>
        </w:rPr>
        <w:t>2024</w:t>
      </w:r>
      <w:r w:rsidR="00FF7267" w:rsidRPr="00E10242">
        <w:rPr>
          <w:rFonts w:ascii="Times" w:hAnsi="Times"/>
          <w:lang w:val="en-US"/>
        </w:rPr>
        <w:t>,</w:t>
      </w:r>
      <w:r w:rsidR="003312D2" w:rsidRPr="00E10242">
        <w:rPr>
          <w:rFonts w:ascii="Times" w:hAnsi="Times"/>
          <w:lang w:val="en-US"/>
        </w:rPr>
        <w:t xml:space="preserve"> 9:2, 99-122.</w:t>
      </w:r>
      <w:r w:rsidRPr="00E10242">
        <w:rPr>
          <w:rFonts w:ascii="Times" w:hAnsi="Times"/>
          <w:lang w:val="en-US"/>
        </w:rPr>
        <w:t>l</w:t>
      </w:r>
    </w:p>
  </w:footnote>
  <w:footnote w:id="7">
    <w:p w14:paraId="368AA30D" w14:textId="4F74C470" w:rsidR="00DB00A0" w:rsidRPr="00E10242" w:rsidRDefault="00DB00A0"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lang w:val="en-US"/>
        </w:rPr>
        <w:t xml:space="preserve"> Sylvain Mary, </w:t>
      </w:r>
      <w:r w:rsidR="004371C7">
        <w:rPr>
          <w:rFonts w:ascii="Times" w:hAnsi="Times"/>
          <w:lang w:val="en-US"/>
        </w:rPr>
        <w:t>R.</w:t>
      </w:r>
      <w:r w:rsidRPr="00E10242">
        <w:rPr>
          <w:rFonts w:ascii="Times" w:hAnsi="Times"/>
          <w:lang w:val="en-US"/>
        </w:rPr>
        <w:t xml:space="preserve"> </w:t>
      </w:r>
      <w:proofErr w:type="spellStart"/>
      <w:r w:rsidRPr="00E10242">
        <w:rPr>
          <w:rFonts w:ascii="Times" w:hAnsi="Times"/>
          <w:lang w:val="en-US"/>
        </w:rPr>
        <w:t>Meltz</w:t>
      </w:r>
      <w:proofErr w:type="spellEnd"/>
      <w:r w:rsidRPr="00E10242">
        <w:rPr>
          <w:rFonts w:ascii="Times" w:hAnsi="Times"/>
          <w:lang w:val="en-US"/>
        </w:rPr>
        <w:t xml:space="preserve"> et Alexis </w:t>
      </w:r>
      <w:proofErr w:type="spellStart"/>
      <w:r w:rsidRPr="00E10242">
        <w:rPr>
          <w:rFonts w:ascii="Times" w:hAnsi="Times"/>
          <w:lang w:val="en-US"/>
        </w:rPr>
        <w:t>Vrignon</w:t>
      </w:r>
      <w:proofErr w:type="spellEnd"/>
      <w:r w:rsidRPr="00E10242">
        <w:rPr>
          <w:rFonts w:ascii="Times" w:hAnsi="Times"/>
          <w:lang w:val="en-US"/>
        </w:rPr>
        <w:t xml:space="preserve"> « Imperial Resurgence. </w:t>
      </w:r>
      <w:r w:rsidRPr="00E10242">
        <w:rPr>
          <w:rFonts w:ascii="Times" w:hAnsi="Times"/>
          <w:lang w:val="en-GB"/>
        </w:rPr>
        <w:t>How Polynesia was picked as the site for the French Centre for Pacific Tests (CEP)</w:t>
      </w:r>
      <w:r w:rsidRPr="00E10242">
        <w:rPr>
          <w:rFonts w:ascii="Times" w:hAnsi="Times"/>
          <w:lang w:val="en-US"/>
        </w:rPr>
        <w:t xml:space="preserve"> »</w:t>
      </w:r>
      <w:proofErr w:type="gramStart"/>
      <w:r w:rsidRPr="00E10242">
        <w:rPr>
          <w:rFonts w:ascii="Times" w:hAnsi="Times"/>
          <w:lang w:val="en-US"/>
        </w:rPr>
        <w:t>, ,</w:t>
      </w:r>
      <w:proofErr w:type="gramEnd"/>
      <w:r w:rsidRPr="00E10242">
        <w:rPr>
          <w:rFonts w:ascii="Times" w:hAnsi="Times"/>
          <w:lang w:val="en-US"/>
        </w:rPr>
        <w:t xml:space="preserve"> </w:t>
      </w:r>
      <w:r w:rsidRPr="00E10242">
        <w:rPr>
          <w:rFonts w:ascii="Times" w:hAnsi="Times"/>
          <w:i/>
          <w:iCs/>
          <w:lang w:val="en-US"/>
        </w:rPr>
        <w:t>The Journal of Pacific History</w:t>
      </w:r>
      <w:r w:rsidRPr="00E10242">
        <w:rPr>
          <w:rFonts w:ascii="Times" w:hAnsi="Times"/>
          <w:lang w:val="en-US"/>
        </w:rPr>
        <w:t xml:space="preserve">, vol. 58, n°2, </w:t>
      </w:r>
      <w:proofErr w:type="spellStart"/>
      <w:r w:rsidRPr="00E10242">
        <w:rPr>
          <w:rFonts w:ascii="Times" w:hAnsi="Times"/>
          <w:lang w:val="en-US"/>
        </w:rPr>
        <w:t>september</w:t>
      </w:r>
      <w:proofErr w:type="spellEnd"/>
      <w:r w:rsidRPr="00E10242">
        <w:rPr>
          <w:rFonts w:ascii="Times" w:hAnsi="Times"/>
          <w:lang w:val="en-US"/>
        </w:rPr>
        <w:t xml:space="preserve"> 2023. </w:t>
      </w:r>
      <w:r w:rsidR="004371C7">
        <w:rPr>
          <w:rFonts w:ascii="Times" w:hAnsi="Times"/>
        </w:rPr>
        <w:t>R.</w:t>
      </w:r>
      <w:r w:rsidRPr="00E10242">
        <w:rPr>
          <w:rFonts w:ascii="Times" w:hAnsi="Times"/>
        </w:rPr>
        <w:t xml:space="preserve"> </w:t>
      </w:r>
      <w:proofErr w:type="spellStart"/>
      <w:r w:rsidRPr="00E10242">
        <w:rPr>
          <w:rFonts w:ascii="Times" w:hAnsi="Times"/>
        </w:rPr>
        <w:t>Meltz</w:t>
      </w:r>
      <w:proofErr w:type="spellEnd"/>
      <w:r w:rsidRPr="00E10242">
        <w:rPr>
          <w:rFonts w:ascii="Times" w:hAnsi="Times"/>
        </w:rPr>
        <w:t xml:space="preserve">, « Associer et dissimuler. Les essais nucléaires aériens en Polynésie française : un "deuxième contact" entre secret et mensonge », </w:t>
      </w:r>
      <w:r w:rsidRPr="00E10242">
        <w:rPr>
          <w:rFonts w:ascii="Times" w:hAnsi="Times"/>
          <w:i/>
          <w:iCs/>
        </w:rPr>
        <w:t>Revue d’Histoire Moderne et Contemporaine</w:t>
      </w:r>
      <w:r w:rsidRPr="00E10242">
        <w:rPr>
          <w:rFonts w:ascii="Times" w:hAnsi="Times"/>
        </w:rPr>
        <w:t>, n°72 2023/3, septembre 2023, p. 88 à 116.</w:t>
      </w:r>
    </w:p>
  </w:footnote>
  <w:footnote w:id="8">
    <w:p w14:paraId="7F9E0535" w14:textId="23560757" w:rsidR="003401B8" w:rsidRPr="00E10242" w:rsidRDefault="003401B8"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w:t>
      </w:r>
      <w:r w:rsidR="004371C7">
        <w:rPr>
          <w:rFonts w:ascii="Times" w:hAnsi="Times"/>
        </w:rPr>
        <w:t>R.</w:t>
      </w:r>
      <w:r w:rsidRPr="00E10242">
        <w:rPr>
          <w:rFonts w:ascii="Times" w:hAnsi="Times"/>
        </w:rPr>
        <w:t xml:space="preserve"> </w:t>
      </w:r>
      <w:proofErr w:type="spellStart"/>
      <w:r w:rsidRPr="00E10242">
        <w:rPr>
          <w:rFonts w:ascii="Times" w:hAnsi="Times"/>
        </w:rPr>
        <w:t>Meltz</w:t>
      </w:r>
      <w:proofErr w:type="spellEnd"/>
      <w:r w:rsidRPr="00E10242">
        <w:rPr>
          <w:rFonts w:ascii="Times" w:hAnsi="Times"/>
        </w:rPr>
        <w:t xml:space="preserve">, « Petite anthropologie historique des violences impériales : le paradoxe libéral face au prosélytisme chrétien en Polynésie », Éric Conte, Guillaume Molle, Serge </w:t>
      </w:r>
      <w:proofErr w:type="spellStart"/>
      <w:r w:rsidRPr="00E10242">
        <w:rPr>
          <w:rFonts w:ascii="Times" w:hAnsi="Times"/>
        </w:rPr>
        <w:t>Tcherkézoff</w:t>
      </w:r>
      <w:proofErr w:type="spellEnd"/>
      <w:r w:rsidRPr="00E10242">
        <w:rPr>
          <w:rFonts w:ascii="Times" w:hAnsi="Times"/>
        </w:rPr>
        <w:t xml:space="preserve">, </w:t>
      </w:r>
      <w:proofErr w:type="spellStart"/>
      <w:r w:rsidRPr="00E10242">
        <w:rPr>
          <w:rFonts w:ascii="Times" w:hAnsi="Times"/>
        </w:rPr>
        <w:t>dir</w:t>
      </w:r>
      <w:proofErr w:type="spellEnd"/>
      <w:r w:rsidRPr="00E10242">
        <w:rPr>
          <w:rFonts w:ascii="Times" w:hAnsi="Times"/>
        </w:rPr>
        <w:t xml:space="preserve">., </w:t>
      </w:r>
      <w:r w:rsidRPr="00E10242">
        <w:rPr>
          <w:rFonts w:ascii="Times" w:hAnsi="Times"/>
          <w:i/>
        </w:rPr>
        <w:t xml:space="preserve">À la croisée des vagues, Océaniens et Occidentaux </w:t>
      </w:r>
      <w:r w:rsidRPr="00E10242">
        <w:rPr>
          <w:rFonts w:ascii="Times" w:hAnsi="Times"/>
          <w:bCs/>
          <w:i/>
          <w:color w:val="000000"/>
        </w:rPr>
        <w:t>anthropologie historique de la violence (XVI-XIX</w:t>
      </w:r>
      <w:r w:rsidRPr="00E10242">
        <w:rPr>
          <w:rFonts w:ascii="Times" w:hAnsi="Times"/>
          <w:bCs/>
          <w:i/>
          <w:color w:val="000000"/>
          <w:vertAlign w:val="superscript"/>
        </w:rPr>
        <w:t>e</w:t>
      </w:r>
      <w:r w:rsidRPr="00E10242">
        <w:rPr>
          <w:rFonts w:ascii="Times" w:hAnsi="Times"/>
          <w:bCs/>
          <w:i/>
          <w:color w:val="000000"/>
        </w:rPr>
        <w:t>)</w:t>
      </w:r>
      <w:r w:rsidRPr="00E10242">
        <w:rPr>
          <w:rFonts w:ascii="Times" w:hAnsi="Times"/>
          <w:bCs/>
          <w:color w:val="000000"/>
        </w:rPr>
        <w:t xml:space="preserve">, éditions MSHP, 2022 et </w:t>
      </w:r>
      <w:r w:rsidRPr="00E10242">
        <w:rPr>
          <w:rFonts w:ascii="Times" w:hAnsi="Times"/>
        </w:rPr>
        <w:t xml:space="preserve">« "Ici l’on danse" : Tahiti et l’opinion publique française sous la Monarchie de Juillet », </w:t>
      </w:r>
      <w:r w:rsidRPr="00E10242">
        <w:rPr>
          <w:rFonts w:ascii="Times" w:hAnsi="Times"/>
          <w:i/>
        </w:rPr>
        <w:t>Hermès</w:t>
      </w:r>
      <w:r w:rsidRPr="00E10242">
        <w:rPr>
          <w:rFonts w:ascii="Times" w:hAnsi="Times"/>
        </w:rPr>
        <w:t>, n°65, avril 2013, p. 41-49.</w:t>
      </w:r>
    </w:p>
  </w:footnote>
  <w:footnote w:id="9">
    <w:p w14:paraId="6C3ABA23" w14:textId="0D4EAEB0" w:rsidR="003401B8" w:rsidRPr="00E10242" w:rsidRDefault="003401B8"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w:t>
      </w:r>
      <w:r w:rsidR="00D460EB" w:rsidRPr="00E10242">
        <w:rPr>
          <w:rFonts w:ascii="Times" w:hAnsi="Times"/>
        </w:rPr>
        <w:t xml:space="preserve">Christophe </w:t>
      </w:r>
      <w:proofErr w:type="spellStart"/>
      <w:r w:rsidR="00D460EB" w:rsidRPr="00E10242">
        <w:rPr>
          <w:rFonts w:ascii="Times" w:hAnsi="Times"/>
        </w:rPr>
        <w:t>Charle</w:t>
      </w:r>
      <w:proofErr w:type="spellEnd"/>
      <w:r w:rsidR="00D460EB" w:rsidRPr="00E10242">
        <w:rPr>
          <w:rFonts w:ascii="Times" w:hAnsi="Times"/>
        </w:rPr>
        <w:t xml:space="preserve">, </w:t>
      </w:r>
      <w:r w:rsidR="00D460EB" w:rsidRPr="00E10242">
        <w:rPr>
          <w:rFonts w:ascii="Times" w:hAnsi="Times"/>
          <w:i/>
          <w:iCs/>
          <w:lang w:eastAsia="fr-FR"/>
        </w:rPr>
        <w:t>La Crise des sociétés impériales. Allemagne, France, Grande-Bretagne (1900-1940). Essai d'histoire sociale comparée</w:t>
      </w:r>
      <w:r w:rsidR="00D460EB" w:rsidRPr="00E10242">
        <w:rPr>
          <w:rFonts w:ascii="Times" w:hAnsi="Times"/>
          <w:lang w:eastAsia="fr-FR"/>
        </w:rPr>
        <w:t>, Seuil, 2021.</w:t>
      </w:r>
      <w:r w:rsidR="00DD16A4" w:rsidRPr="00E10242">
        <w:rPr>
          <w:rFonts w:ascii="Times" w:hAnsi="Times"/>
        </w:rPr>
        <w:t xml:space="preserve"> </w:t>
      </w:r>
      <w:r w:rsidRPr="00E10242">
        <w:rPr>
          <w:rFonts w:ascii="Times" w:hAnsi="Times"/>
        </w:rPr>
        <w:t xml:space="preserve">Renaud </w:t>
      </w:r>
      <w:proofErr w:type="spellStart"/>
      <w:r w:rsidRPr="00E10242">
        <w:rPr>
          <w:rFonts w:ascii="Times" w:hAnsi="Times"/>
        </w:rPr>
        <w:t>Meltz</w:t>
      </w:r>
      <w:proofErr w:type="spellEnd"/>
      <w:r w:rsidRPr="00E10242">
        <w:rPr>
          <w:rFonts w:ascii="Times" w:hAnsi="Times"/>
        </w:rPr>
        <w:t xml:space="preserve">, « Tahiti et le procès du libéralisme : impérialisme, démocratie, internationalisme », </w:t>
      </w:r>
      <w:r w:rsidRPr="00E10242">
        <w:rPr>
          <w:rFonts w:ascii="Times" w:hAnsi="Times"/>
          <w:i/>
        </w:rPr>
        <w:t xml:space="preserve">À la croisée des vagues, </w:t>
      </w:r>
      <w:r w:rsidR="004371C7">
        <w:rPr>
          <w:rFonts w:ascii="Times" w:hAnsi="Times"/>
          <w:i/>
        </w:rPr>
        <w:t xml:space="preserve">op. </w:t>
      </w:r>
      <w:proofErr w:type="spellStart"/>
      <w:r w:rsidR="004371C7">
        <w:rPr>
          <w:rFonts w:ascii="Times" w:hAnsi="Times"/>
          <w:i/>
        </w:rPr>
        <w:t>cit</w:t>
      </w:r>
      <w:proofErr w:type="spellEnd"/>
      <w:r w:rsidRPr="00E10242">
        <w:rPr>
          <w:rFonts w:ascii="Times" w:hAnsi="Times"/>
          <w:bCs/>
          <w:color w:val="000000"/>
        </w:rPr>
        <w:t>.</w:t>
      </w:r>
    </w:p>
  </w:footnote>
  <w:footnote w:id="10">
    <w:p w14:paraId="3F4AB1F3" w14:textId="0BDAF1AB" w:rsidR="00793659" w:rsidRPr="00E10242" w:rsidRDefault="00793659"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w:t>
      </w:r>
      <w:r w:rsidR="00B117A6" w:rsidRPr="00E10242">
        <w:rPr>
          <w:rFonts w:ascii="Times" w:hAnsi="Times"/>
        </w:rPr>
        <w:t xml:space="preserve">Claire </w:t>
      </w:r>
      <w:proofErr w:type="spellStart"/>
      <w:r w:rsidR="00B117A6" w:rsidRPr="00E10242">
        <w:rPr>
          <w:rFonts w:ascii="Times" w:hAnsi="Times"/>
        </w:rPr>
        <w:t>Laux</w:t>
      </w:r>
      <w:proofErr w:type="spellEnd"/>
      <w:r w:rsidR="00B117A6" w:rsidRPr="00E10242">
        <w:rPr>
          <w:rFonts w:ascii="Times" w:hAnsi="Times"/>
        </w:rPr>
        <w:t xml:space="preserve">, </w:t>
      </w:r>
      <w:r w:rsidR="00B117A6" w:rsidRPr="00E10242">
        <w:rPr>
          <w:rStyle w:val="Accentuation"/>
          <w:rFonts w:ascii="Times" w:hAnsi="Times" w:cs="Times New Roman"/>
        </w:rPr>
        <w:t>Les Français et les Anglais dans le Pacifique de 1763 à 1914</w:t>
      </w:r>
      <w:r w:rsidR="00B117A6" w:rsidRPr="00E10242">
        <w:rPr>
          <w:rFonts w:ascii="Times" w:hAnsi="Times"/>
        </w:rPr>
        <w:t>, Karthala, 2011.</w:t>
      </w:r>
      <w:r w:rsidR="00DD16A4" w:rsidRPr="00E10242">
        <w:rPr>
          <w:rFonts w:ascii="Times" w:hAnsi="Times"/>
        </w:rPr>
        <w:t xml:space="preserve"> </w:t>
      </w:r>
      <w:r w:rsidR="004371C7">
        <w:rPr>
          <w:rFonts w:ascii="Times" w:hAnsi="Times"/>
        </w:rPr>
        <w:t>R.</w:t>
      </w:r>
      <w:r w:rsidR="00B117A6" w:rsidRPr="00E10242">
        <w:rPr>
          <w:rFonts w:ascii="Times" w:hAnsi="Times"/>
        </w:rPr>
        <w:t xml:space="preserve"> </w:t>
      </w:r>
      <w:proofErr w:type="spellStart"/>
      <w:r w:rsidR="00B117A6" w:rsidRPr="00E10242">
        <w:rPr>
          <w:rFonts w:ascii="Times" w:hAnsi="Times"/>
        </w:rPr>
        <w:t>Meltz</w:t>
      </w:r>
      <w:proofErr w:type="spellEnd"/>
      <w:r w:rsidR="00B117A6" w:rsidRPr="00E10242">
        <w:rPr>
          <w:rFonts w:ascii="Times" w:hAnsi="Times"/>
        </w:rPr>
        <w:t xml:space="preserve">, </w:t>
      </w:r>
      <w:r w:rsidRPr="00E10242">
        <w:rPr>
          <w:rFonts w:ascii="Times" w:hAnsi="Times"/>
        </w:rPr>
        <w:t xml:space="preserve">« Du protectorat à l’annexion : la lente pacification des Îles Sous-le-Vent (1880-1897) », </w:t>
      </w:r>
      <w:r w:rsidRPr="00E10242">
        <w:rPr>
          <w:rFonts w:ascii="Times" w:hAnsi="Times"/>
          <w:i/>
        </w:rPr>
        <w:t>Monde(s),</w:t>
      </w:r>
      <w:r w:rsidRPr="00E10242">
        <w:rPr>
          <w:rFonts w:ascii="Times" w:hAnsi="Times"/>
        </w:rPr>
        <w:t xml:space="preserve"> « Sociétés coloniales. Enquêtes et expertises », n°4, 2013, p. 233-250.</w:t>
      </w:r>
    </w:p>
  </w:footnote>
  <w:footnote w:id="11">
    <w:p w14:paraId="6BEEB65D" w14:textId="5FD92A45" w:rsidR="00432802" w:rsidRPr="00E10242" w:rsidRDefault="00432802"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Cité par Indravati Félicité, </w:t>
      </w:r>
      <w:r w:rsidRPr="00E10242">
        <w:rPr>
          <w:rFonts w:ascii="Times" w:hAnsi="Times"/>
          <w:i/>
          <w:iCs/>
        </w:rPr>
        <w:t>Le Saint-Empire face au monde. Contestations et redéfinitions de l’impérialité XVe-XIXe siècle</w:t>
      </w:r>
      <w:r w:rsidRPr="00E10242">
        <w:rPr>
          <w:rFonts w:ascii="Times" w:hAnsi="Times"/>
        </w:rPr>
        <w:t xml:space="preserve">, CNRS éditions, 2024, p. 417. </w:t>
      </w:r>
    </w:p>
  </w:footnote>
  <w:footnote w:id="12">
    <w:p w14:paraId="488E4E32" w14:textId="48C31594" w:rsidR="00540D49" w:rsidRPr="00E10242" w:rsidRDefault="00540D49"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Après George Steinmetz et Jack Snyder, dans Frederick Cooper, </w:t>
      </w:r>
      <w:r w:rsidR="00432802" w:rsidRPr="00E10242">
        <w:rPr>
          <w:rFonts w:ascii="Times" w:hAnsi="Times"/>
        </w:rPr>
        <w:t>« </w:t>
      </w:r>
      <w:r w:rsidRPr="00E10242">
        <w:rPr>
          <w:rFonts w:ascii="Times" w:hAnsi="Times"/>
        </w:rPr>
        <w:t>La modernisation du colonialisme et les limites de l’empire</w:t>
      </w:r>
      <w:r w:rsidR="00432802" w:rsidRPr="00E10242">
        <w:rPr>
          <w:rFonts w:ascii="Times" w:hAnsi="Times"/>
        </w:rPr>
        <w:t> »</w:t>
      </w:r>
      <w:r w:rsidRPr="00E10242">
        <w:rPr>
          <w:rFonts w:ascii="Times" w:hAnsi="Times"/>
        </w:rPr>
        <w:t>, </w:t>
      </w:r>
      <w:r w:rsidRPr="00E10242">
        <w:rPr>
          <w:rStyle w:val="Accentuation"/>
          <w:rFonts w:ascii="Times" w:hAnsi="Times" w:cs="Times New Roman"/>
        </w:rPr>
        <w:t>Labyrinthe</w:t>
      </w:r>
      <w:r w:rsidRPr="00E10242">
        <w:rPr>
          <w:rFonts w:ascii="Times" w:hAnsi="Times"/>
        </w:rPr>
        <w:t>, 35 | 2010, 69-86.</w:t>
      </w:r>
    </w:p>
  </w:footnote>
  <w:footnote w:id="13">
    <w:p w14:paraId="3A4C228A" w14:textId="4C787478" w:rsidR="003312D2" w:rsidRPr="00E10242" w:rsidRDefault="00711FD2" w:rsidP="00C53E52">
      <w:pPr>
        <w:pStyle w:val="notesbdp"/>
        <w:spacing w:after="0"/>
        <w:rPr>
          <w:rFonts w:ascii="Times" w:hAnsi="Times"/>
          <w:lang w:val="en-US"/>
        </w:rPr>
      </w:pPr>
      <w:r w:rsidRPr="00E10242">
        <w:rPr>
          <w:rStyle w:val="Appelnotedebasdep"/>
          <w:rFonts w:ascii="Times" w:hAnsi="Times" w:cs="Times New Roman"/>
        </w:rPr>
        <w:footnoteRef/>
      </w:r>
      <w:r w:rsidRPr="00E10242">
        <w:rPr>
          <w:rFonts w:ascii="Times" w:hAnsi="Times"/>
          <w:lang w:val="en-US"/>
        </w:rPr>
        <w:t xml:space="preserve"> </w:t>
      </w:r>
      <w:proofErr w:type="spellStart"/>
      <w:r w:rsidR="003312D2" w:rsidRPr="00E10242">
        <w:rPr>
          <w:rFonts w:ascii="Times" w:hAnsi="Times"/>
          <w:lang w:val="en-US"/>
        </w:rPr>
        <w:t>Voir</w:t>
      </w:r>
      <w:proofErr w:type="spellEnd"/>
      <w:r w:rsidR="003312D2" w:rsidRPr="00E10242">
        <w:rPr>
          <w:rFonts w:ascii="Times" w:hAnsi="Times"/>
          <w:lang w:val="en-US"/>
        </w:rPr>
        <w:t xml:space="preserve"> </w:t>
      </w:r>
      <w:proofErr w:type="spellStart"/>
      <w:r w:rsidR="003312D2" w:rsidRPr="00E10242">
        <w:rPr>
          <w:rFonts w:ascii="Times" w:hAnsi="Times"/>
          <w:lang w:val="en-US"/>
        </w:rPr>
        <w:t>aussi</w:t>
      </w:r>
      <w:proofErr w:type="spellEnd"/>
      <w:r w:rsidR="003312D2" w:rsidRPr="00E10242">
        <w:rPr>
          <w:rFonts w:ascii="Times" w:hAnsi="Times"/>
          <w:lang w:val="en-US"/>
        </w:rPr>
        <w:t xml:space="preserve"> G. Hecht, “According to those narratives, splitting the atom promulgated a new world </w:t>
      </w:r>
      <w:proofErr w:type="gramStart"/>
      <w:r w:rsidR="003312D2" w:rsidRPr="00E10242">
        <w:rPr>
          <w:rFonts w:ascii="Times" w:hAnsi="Times"/>
          <w:lang w:val="en-US"/>
        </w:rPr>
        <w:t>order  that</w:t>
      </w:r>
      <w:proofErr w:type="gramEnd"/>
      <w:r w:rsidR="003312D2" w:rsidRPr="00E10242">
        <w:rPr>
          <w:rFonts w:ascii="Times" w:hAnsi="Times"/>
          <w:lang w:val="en-US"/>
        </w:rPr>
        <w:t xml:space="preserve">  replaced  imperialism  with  “ the  bomb. ”   </w:t>
      </w:r>
      <w:proofErr w:type="gramStart"/>
      <w:r w:rsidR="003312D2" w:rsidRPr="00E10242">
        <w:rPr>
          <w:rFonts w:ascii="Times" w:hAnsi="Times"/>
          <w:lang w:val="en-US"/>
        </w:rPr>
        <w:t>But  it</w:t>
      </w:r>
      <w:proofErr w:type="gramEnd"/>
      <w:r w:rsidR="003312D2" w:rsidRPr="00E10242">
        <w:rPr>
          <w:rFonts w:ascii="Times" w:hAnsi="Times"/>
          <w:lang w:val="en-US"/>
        </w:rPr>
        <w:t xml:space="preserve">  was  clear  that colonialism  remained  central  to  the  nuclear order ’ s  technological  and geopolitical success. Even a short list of atomic test sites makes the point: Bikini Atoll, Semipalatinsk, Australian Aboriginal lands, the Sahara, French Polynesia » </w:t>
      </w:r>
      <w:r w:rsidR="003312D2" w:rsidRPr="00E10242">
        <w:rPr>
          <w:rFonts w:ascii="Times" w:hAnsi="Times"/>
          <w:i/>
          <w:iCs/>
          <w:lang w:val="en-US"/>
        </w:rPr>
        <w:t xml:space="preserve">Being Nuclear: Africans and the Global Uranium Trade </w:t>
      </w:r>
      <w:r w:rsidR="003312D2" w:rsidRPr="00E10242">
        <w:rPr>
          <w:rFonts w:ascii="Times" w:hAnsi="Times"/>
          <w:lang w:val="en-US"/>
        </w:rPr>
        <w:t>p. IX.</w:t>
      </w:r>
    </w:p>
  </w:footnote>
  <w:footnote w:id="14">
    <w:p w14:paraId="360B34E9" w14:textId="63B7FE0F" w:rsidR="00D4510F" w:rsidRPr="00E10242" w:rsidRDefault="00D4510F" w:rsidP="00C53E52">
      <w:pPr>
        <w:pStyle w:val="notesbdp"/>
        <w:spacing w:after="0"/>
        <w:rPr>
          <w:rFonts w:ascii="Times" w:hAnsi="Times"/>
        </w:rPr>
      </w:pPr>
      <w:r w:rsidRPr="00E10242">
        <w:rPr>
          <w:rFonts w:ascii="Times" w:hAnsi="Times"/>
          <w:vertAlign w:val="superscript"/>
        </w:rPr>
        <w:footnoteRef/>
      </w:r>
      <w:r w:rsidRPr="00E10242">
        <w:rPr>
          <w:rFonts w:ascii="Times" w:hAnsi="Times"/>
        </w:rPr>
        <w:t xml:space="preserve"> S</w:t>
      </w:r>
      <w:r w:rsidR="003831E1" w:rsidRPr="00E10242">
        <w:rPr>
          <w:rFonts w:ascii="Times" w:hAnsi="Times"/>
        </w:rPr>
        <w:t xml:space="preserve">ervice </w:t>
      </w:r>
      <w:r w:rsidRPr="00E10242">
        <w:rPr>
          <w:rFonts w:ascii="Times" w:hAnsi="Times"/>
        </w:rPr>
        <w:t>H</w:t>
      </w:r>
      <w:r w:rsidR="003831E1" w:rsidRPr="00E10242">
        <w:rPr>
          <w:rFonts w:ascii="Times" w:hAnsi="Times"/>
        </w:rPr>
        <w:t xml:space="preserve">istoire de </w:t>
      </w:r>
      <w:r w:rsidR="00FC6BA6" w:rsidRPr="00E10242">
        <w:rPr>
          <w:rFonts w:ascii="Times" w:hAnsi="Times"/>
        </w:rPr>
        <w:t xml:space="preserve">la </w:t>
      </w:r>
      <w:r w:rsidRPr="00E10242">
        <w:rPr>
          <w:rFonts w:ascii="Times" w:hAnsi="Times"/>
        </w:rPr>
        <w:t>D</w:t>
      </w:r>
      <w:r w:rsidR="00FC6BA6" w:rsidRPr="00E10242">
        <w:rPr>
          <w:rFonts w:ascii="Times" w:hAnsi="Times"/>
        </w:rPr>
        <w:t>éfense (SHD), Vincennes</w:t>
      </w:r>
      <w:r w:rsidRPr="00E10242">
        <w:rPr>
          <w:rFonts w:ascii="Times" w:hAnsi="Times"/>
        </w:rPr>
        <w:t xml:space="preserve">, </w:t>
      </w:r>
      <w:proofErr w:type="spellStart"/>
      <w:r w:rsidRPr="00E10242">
        <w:rPr>
          <w:rFonts w:ascii="Times" w:hAnsi="Times"/>
        </w:rPr>
        <w:t>Camussot</w:t>
      </w:r>
      <w:proofErr w:type="spellEnd"/>
      <w:r w:rsidRPr="00E10242">
        <w:rPr>
          <w:rFonts w:ascii="Times" w:hAnsi="Times"/>
        </w:rPr>
        <w:t xml:space="preserve"> 267 GG², rapport moral du 14 février 1964, p. 1 et 4.</w:t>
      </w:r>
    </w:p>
  </w:footnote>
  <w:footnote w:id="15">
    <w:p w14:paraId="3159029D" w14:textId="3D762119" w:rsidR="003312D2" w:rsidRPr="00E10242" w:rsidRDefault="003312D2"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Pascal Martin, </w:t>
      </w:r>
      <w:r w:rsidRPr="00E10242">
        <w:rPr>
          <w:rFonts w:ascii="Times" w:hAnsi="Times"/>
          <w:i/>
          <w:iCs/>
        </w:rPr>
        <w:t>Le seigneur des atolls</w:t>
      </w:r>
      <w:r w:rsidRPr="00E10242">
        <w:rPr>
          <w:rFonts w:ascii="Times" w:hAnsi="Times"/>
        </w:rPr>
        <w:t xml:space="preserve">, Presses de la Cité, 2011. </w:t>
      </w:r>
    </w:p>
  </w:footnote>
  <w:footnote w:id="16">
    <w:p w14:paraId="1BDAE09F" w14:textId="77777777" w:rsidR="009D2C38" w:rsidRPr="00E10242" w:rsidRDefault="009D2C38"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w:t>
      </w:r>
      <w:proofErr w:type="spellStart"/>
      <w:r w:rsidRPr="00E10242">
        <w:rPr>
          <w:rFonts w:ascii="Times" w:hAnsi="Times"/>
        </w:rPr>
        <w:t>Teva</w:t>
      </w:r>
      <w:proofErr w:type="spellEnd"/>
      <w:r w:rsidRPr="00E10242">
        <w:rPr>
          <w:rFonts w:ascii="Times" w:hAnsi="Times"/>
        </w:rPr>
        <w:t xml:space="preserve"> Meyer, «Allez contaminer chez vous!» Stigmatisation territoriale et production de la nucléarité spatiale à </w:t>
      </w:r>
      <w:proofErr w:type="spellStart"/>
      <w:r w:rsidRPr="00E10242">
        <w:rPr>
          <w:rFonts w:ascii="Times" w:hAnsi="Times"/>
        </w:rPr>
        <w:t>Hao</w:t>
      </w:r>
      <w:proofErr w:type="spellEnd"/>
      <w:r w:rsidRPr="00E10242">
        <w:rPr>
          <w:rFonts w:ascii="Times" w:hAnsi="Times"/>
        </w:rPr>
        <w:t xml:space="preserve"> (Polynésie française) »,  </w:t>
      </w:r>
      <w:r w:rsidRPr="00E10242">
        <w:rPr>
          <w:rFonts w:ascii="Times" w:hAnsi="Times"/>
          <w:i/>
          <w:iCs/>
        </w:rPr>
        <w:t>Annales de géographie</w:t>
      </w:r>
      <w:r w:rsidRPr="00E10242">
        <w:rPr>
          <w:rFonts w:ascii="Times" w:hAnsi="Times"/>
        </w:rPr>
        <w:t>, 2023. p. 91-117.</w:t>
      </w:r>
    </w:p>
  </w:footnote>
  <w:footnote w:id="17">
    <w:p w14:paraId="53209F90" w14:textId="77777777" w:rsidR="009D2C38" w:rsidRPr="00E10242" w:rsidRDefault="009D2C38" w:rsidP="00C53E52">
      <w:pPr>
        <w:pStyle w:val="notesbdp"/>
        <w:spacing w:after="0"/>
        <w:rPr>
          <w:rFonts w:ascii="Times" w:hAnsi="Times"/>
          <w:lang w:val="en-US"/>
        </w:rPr>
      </w:pPr>
      <w:r w:rsidRPr="00E10242">
        <w:rPr>
          <w:rStyle w:val="Appelnotedebasdep"/>
          <w:rFonts w:ascii="Times" w:hAnsi="Times" w:cs="Times New Roman"/>
        </w:rPr>
        <w:footnoteRef/>
      </w:r>
      <w:r w:rsidRPr="00E10242">
        <w:rPr>
          <w:rFonts w:ascii="Times" w:hAnsi="Times"/>
          <w:lang w:val="en-US"/>
        </w:rPr>
        <w:t xml:space="preserve"> Gabrielle Hecht, </w:t>
      </w:r>
      <w:r w:rsidRPr="00E10242">
        <w:rPr>
          <w:rFonts w:ascii="Times" w:hAnsi="Times"/>
          <w:i/>
          <w:iCs/>
          <w:lang w:val="en-US"/>
        </w:rPr>
        <w:t>Being nuclear, Africans and the Global Uranium trade</w:t>
      </w:r>
      <w:r w:rsidRPr="00E10242">
        <w:rPr>
          <w:rFonts w:ascii="Times" w:hAnsi="Times"/>
          <w:lang w:val="en-US"/>
        </w:rPr>
        <w:t>, 2012, p. 11.</w:t>
      </w:r>
    </w:p>
  </w:footnote>
  <w:footnote w:id="18">
    <w:p w14:paraId="7652A031" w14:textId="6A3BCA80" w:rsidR="0008015C" w:rsidRPr="00E10242" w:rsidRDefault="0008015C"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w:t>
      </w:r>
      <w:r w:rsidR="009D2C38" w:rsidRPr="00E10242">
        <w:rPr>
          <w:rFonts w:ascii="Times" w:hAnsi="Times"/>
          <w:i/>
          <w:iCs/>
        </w:rPr>
        <w:t>Ibid.</w:t>
      </w:r>
      <w:r w:rsidRPr="00E10242">
        <w:rPr>
          <w:rFonts w:ascii="Times" w:hAnsi="Times"/>
        </w:rPr>
        <w:t>, p. 16.</w:t>
      </w:r>
    </w:p>
  </w:footnote>
  <w:footnote w:id="19">
    <w:p w14:paraId="34F83E62" w14:textId="7AC10696" w:rsidR="009D2C38" w:rsidRPr="00E10242" w:rsidRDefault="009D2C38"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Jean-François </w:t>
      </w:r>
      <w:proofErr w:type="spellStart"/>
      <w:r w:rsidRPr="00E10242">
        <w:rPr>
          <w:rFonts w:ascii="Times" w:hAnsi="Times"/>
        </w:rPr>
        <w:t>Staszak</w:t>
      </w:r>
      <w:proofErr w:type="spellEnd"/>
      <w:r w:rsidRPr="00E10242">
        <w:rPr>
          <w:rFonts w:ascii="Times" w:hAnsi="Times"/>
        </w:rPr>
        <w:t xml:space="preserve">, </w:t>
      </w:r>
      <w:r w:rsidRPr="00E10242">
        <w:rPr>
          <w:rFonts w:ascii="Times" w:hAnsi="Times"/>
          <w:i/>
          <w:iCs/>
        </w:rPr>
        <w:t xml:space="preserve">Géographies de Gauguin, </w:t>
      </w:r>
      <w:r w:rsidRPr="00E10242">
        <w:rPr>
          <w:rFonts w:ascii="Times" w:hAnsi="Times"/>
        </w:rPr>
        <w:t xml:space="preserve">2003. </w:t>
      </w:r>
    </w:p>
  </w:footnote>
  <w:footnote w:id="20">
    <w:p w14:paraId="0BC22F78" w14:textId="2BF30959" w:rsidR="009D2C38" w:rsidRPr="00E10242" w:rsidRDefault="009D2C38"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lang w:val="en-US"/>
        </w:rPr>
        <w:t xml:space="preserve"> Nicholas Hoare, </w:t>
      </w:r>
      <w:r w:rsidRPr="00E10242">
        <w:rPr>
          <w:rFonts w:ascii="Times" w:hAnsi="Times"/>
          <w:i/>
          <w:iCs/>
          <w:lang w:val="en-US"/>
        </w:rPr>
        <w:t>Re-Mining Makatea: People, Politics and Phosphate Rock</w:t>
      </w:r>
      <w:r w:rsidRPr="00E10242">
        <w:rPr>
          <w:rFonts w:ascii="Times" w:hAnsi="Times"/>
          <w:lang w:val="en-US"/>
        </w:rPr>
        <w:t xml:space="preserve">. </w:t>
      </w:r>
      <w:r w:rsidRPr="00E10242">
        <w:rPr>
          <w:rFonts w:ascii="Times" w:hAnsi="Times"/>
        </w:rPr>
        <w:t xml:space="preserve">Thèse de doctorat. The </w:t>
      </w:r>
      <w:proofErr w:type="spellStart"/>
      <w:r w:rsidRPr="00E10242">
        <w:rPr>
          <w:rFonts w:ascii="Times" w:hAnsi="Times"/>
        </w:rPr>
        <w:t>Australian</w:t>
      </w:r>
      <w:proofErr w:type="spellEnd"/>
      <w:r w:rsidRPr="00E10242">
        <w:rPr>
          <w:rFonts w:ascii="Times" w:hAnsi="Times"/>
        </w:rPr>
        <w:t xml:space="preserve"> National </w:t>
      </w:r>
      <w:proofErr w:type="spellStart"/>
      <w:r w:rsidRPr="00E10242">
        <w:rPr>
          <w:rFonts w:ascii="Times" w:hAnsi="Times"/>
        </w:rPr>
        <w:t>University</w:t>
      </w:r>
      <w:proofErr w:type="spellEnd"/>
      <w:r w:rsidRPr="00E10242">
        <w:rPr>
          <w:rFonts w:ascii="Times" w:hAnsi="Times"/>
        </w:rPr>
        <w:t>, 2020.</w:t>
      </w:r>
    </w:p>
  </w:footnote>
  <w:footnote w:id="21">
    <w:p w14:paraId="23EC837A" w14:textId="77777777" w:rsidR="009D2C38" w:rsidRPr="00E10242" w:rsidRDefault="009D2C38"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Geneviève Cortes et Laurent Faret, « Introduction: La circulation migratoire dans «l'ordre des mobilités» », </w:t>
      </w:r>
      <w:r w:rsidRPr="00E10242">
        <w:rPr>
          <w:rFonts w:ascii="Times" w:hAnsi="Times"/>
          <w:i/>
          <w:iCs/>
        </w:rPr>
        <w:t>Les Circulations transnationales. Lire les turbulences migratoires contemporaines</w:t>
      </w:r>
      <w:r w:rsidRPr="00E10242">
        <w:rPr>
          <w:rFonts w:ascii="Times" w:hAnsi="Times"/>
        </w:rPr>
        <w:t>, 2009.</w:t>
      </w:r>
    </w:p>
  </w:footnote>
  <w:footnote w:id="22">
    <w:p w14:paraId="6787980B" w14:textId="54AB2409" w:rsidR="009D2C38" w:rsidRPr="00E10242" w:rsidRDefault="009D2C38"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François </w:t>
      </w:r>
      <w:proofErr w:type="spellStart"/>
      <w:r w:rsidRPr="00E10242">
        <w:rPr>
          <w:rFonts w:ascii="Times" w:hAnsi="Times"/>
        </w:rPr>
        <w:t>Sodter</w:t>
      </w:r>
      <w:proofErr w:type="spellEnd"/>
      <w:r w:rsidRPr="00E10242">
        <w:rPr>
          <w:rFonts w:ascii="Times" w:hAnsi="Times"/>
        </w:rPr>
        <w:t xml:space="preserve">, 1991, « L'évolution récente de la population entre 1962 et 1983 », </w:t>
      </w:r>
      <w:r w:rsidRPr="00E10242">
        <w:rPr>
          <w:rFonts w:ascii="Times" w:hAnsi="Times"/>
          <w:i/>
          <w:iCs/>
        </w:rPr>
        <w:t>Atlas de la Polynésie française</w:t>
      </w:r>
      <w:r w:rsidRPr="00E10242">
        <w:rPr>
          <w:rFonts w:ascii="Times" w:hAnsi="Times"/>
        </w:rPr>
        <w:t>, ORSTOM, planche 78</w:t>
      </w:r>
      <w:r w:rsidR="004F53FB" w:rsidRPr="00E10242">
        <w:rPr>
          <w:rFonts w:ascii="Times" w:hAnsi="Times"/>
        </w:rPr>
        <w:t xml:space="preserve">. </w:t>
      </w:r>
    </w:p>
  </w:footnote>
  <w:footnote w:id="23">
    <w:p w14:paraId="398AA549" w14:textId="77777777" w:rsidR="009D2C38" w:rsidRPr="00E10242" w:rsidRDefault="009D2C38"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Celio Sierra-</w:t>
      </w:r>
      <w:proofErr w:type="spellStart"/>
      <w:r w:rsidRPr="00E10242">
        <w:rPr>
          <w:rFonts w:ascii="Times" w:hAnsi="Times"/>
        </w:rPr>
        <w:t>Paycha</w:t>
      </w:r>
      <w:proofErr w:type="spellEnd"/>
      <w:r w:rsidRPr="00E10242">
        <w:rPr>
          <w:rFonts w:ascii="Times" w:hAnsi="Times"/>
        </w:rPr>
        <w:t xml:space="preserve">, Loïc </w:t>
      </w:r>
      <w:proofErr w:type="spellStart"/>
      <w:r w:rsidRPr="00E10242">
        <w:rPr>
          <w:rFonts w:ascii="Times" w:hAnsi="Times"/>
        </w:rPr>
        <w:t>Trabut</w:t>
      </w:r>
      <w:proofErr w:type="spellEnd"/>
      <w:r w:rsidRPr="00E10242">
        <w:rPr>
          <w:rFonts w:ascii="Times" w:hAnsi="Times"/>
        </w:rPr>
        <w:t xml:space="preserve">, Eva Lelièvre, </w:t>
      </w:r>
      <w:r w:rsidRPr="00E10242">
        <w:rPr>
          <w:rFonts w:ascii="Times" w:hAnsi="Times"/>
          <w:i/>
          <w:iCs/>
        </w:rPr>
        <w:t>et al.</w:t>
      </w:r>
      <w:r w:rsidRPr="00E10242">
        <w:rPr>
          <w:rFonts w:ascii="Times" w:hAnsi="Times"/>
        </w:rPr>
        <w:t xml:space="preserve"> « Les ménages complexes en Polynésie française. Résistance à la nucléarisation ou adaptation à la" modernité"? », </w:t>
      </w:r>
      <w:r w:rsidRPr="00E10242">
        <w:rPr>
          <w:rFonts w:ascii="Times" w:hAnsi="Times"/>
          <w:i/>
          <w:iCs/>
        </w:rPr>
        <w:t xml:space="preserve">Espace populations sociétés, </w:t>
      </w:r>
      <w:r w:rsidRPr="00E10242">
        <w:rPr>
          <w:rFonts w:ascii="Times" w:hAnsi="Times"/>
        </w:rPr>
        <w:t xml:space="preserve">2022, no 1, p. 1. </w:t>
      </w:r>
    </w:p>
  </w:footnote>
  <w:footnote w:id="24">
    <w:p w14:paraId="26F07C03" w14:textId="77777777" w:rsidR="009D2C38" w:rsidRPr="00E10242" w:rsidRDefault="009D2C38"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Jean </w:t>
      </w:r>
      <w:proofErr w:type="spellStart"/>
      <w:r w:rsidRPr="00E10242">
        <w:rPr>
          <w:rFonts w:ascii="Times" w:hAnsi="Times"/>
        </w:rPr>
        <w:t>Fages</w:t>
      </w:r>
      <w:proofErr w:type="spellEnd"/>
      <w:r w:rsidRPr="00E10242">
        <w:rPr>
          <w:rFonts w:ascii="Times" w:hAnsi="Times"/>
        </w:rPr>
        <w:t xml:space="preserve">, </w:t>
      </w:r>
      <w:r w:rsidRPr="00E10242">
        <w:rPr>
          <w:rFonts w:ascii="Times" w:hAnsi="Times"/>
          <w:i/>
          <w:iCs/>
        </w:rPr>
        <w:t>Migrations et urbanisation en Polynésie française</w:t>
      </w:r>
      <w:r w:rsidRPr="00E10242">
        <w:rPr>
          <w:rFonts w:ascii="Times" w:hAnsi="Times"/>
        </w:rPr>
        <w:t xml:space="preserve">. Centre ORSTOM, 1974, p. 255. </w:t>
      </w:r>
    </w:p>
  </w:footnote>
  <w:footnote w:id="25">
    <w:p w14:paraId="3AF8F1BA" w14:textId="77777777" w:rsidR="009D2C38" w:rsidRPr="00E10242" w:rsidRDefault="009D2C38"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Anne-Christine </w:t>
      </w:r>
      <w:proofErr w:type="spellStart"/>
      <w:r w:rsidRPr="00E10242">
        <w:rPr>
          <w:rFonts w:ascii="Times" w:hAnsi="Times"/>
        </w:rPr>
        <w:t>Trémon</w:t>
      </w:r>
      <w:proofErr w:type="spellEnd"/>
      <w:r w:rsidRPr="00E10242">
        <w:rPr>
          <w:rFonts w:ascii="Times" w:hAnsi="Times"/>
        </w:rPr>
        <w:t xml:space="preserve">, « Parenté flexible. Ajustements familiaux et accumulation de capitaux dans la diaspora chinoise en Polynésie française », </w:t>
      </w:r>
      <w:proofErr w:type="spellStart"/>
      <w:r w:rsidRPr="00E10242">
        <w:rPr>
          <w:rFonts w:ascii="Times" w:hAnsi="Times"/>
          <w:i/>
          <w:iCs/>
        </w:rPr>
        <w:t>Autrepart</w:t>
      </w:r>
      <w:proofErr w:type="spellEnd"/>
      <w:r w:rsidRPr="00E10242">
        <w:rPr>
          <w:rFonts w:ascii="Times" w:hAnsi="Times"/>
        </w:rPr>
        <w:t>, 2011, vol. 5758, no 1, p. 23-40.</w:t>
      </w:r>
    </w:p>
  </w:footnote>
  <w:footnote w:id="26">
    <w:p w14:paraId="5228CC70" w14:textId="77777777" w:rsidR="009D2C38" w:rsidRPr="00E10242" w:rsidRDefault="009D2C38"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w:t>
      </w:r>
      <w:proofErr w:type="spellStart"/>
      <w:r w:rsidRPr="00E10242">
        <w:rPr>
          <w:rFonts w:ascii="Times" w:hAnsi="Times"/>
        </w:rPr>
        <w:t>Tamatoa</w:t>
      </w:r>
      <w:proofErr w:type="spellEnd"/>
      <w:r w:rsidRPr="00E10242">
        <w:rPr>
          <w:rFonts w:ascii="Times" w:hAnsi="Times"/>
        </w:rPr>
        <w:t xml:space="preserve"> </w:t>
      </w:r>
      <w:proofErr w:type="spellStart"/>
      <w:r w:rsidRPr="00E10242">
        <w:rPr>
          <w:rFonts w:ascii="Times" w:hAnsi="Times"/>
        </w:rPr>
        <w:t>Bambridge</w:t>
      </w:r>
      <w:proofErr w:type="spellEnd"/>
      <w:r w:rsidRPr="00E10242">
        <w:rPr>
          <w:rFonts w:ascii="Times" w:hAnsi="Times"/>
        </w:rPr>
        <w:t xml:space="preserve"> et Philippe </w:t>
      </w:r>
      <w:proofErr w:type="spellStart"/>
      <w:r w:rsidRPr="00E10242">
        <w:rPr>
          <w:rFonts w:ascii="Times" w:hAnsi="Times"/>
        </w:rPr>
        <w:t>Neuffer</w:t>
      </w:r>
      <w:proofErr w:type="spellEnd"/>
      <w:r w:rsidRPr="00E10242">
        <w:rPr>
          <w:rFonts w:ascii="Times" w:hAnsi="Times"/>
        </w:rPr>
        <w:t xml:space="preserve">, « Pluralisme culturel et juridique en Polynice française: la question foncière », </w:t>
      </w:r>
      <w:r w:rsidRPr="00E10242">
        <w:rPr>
          <w:rFonts w:ascii="Times" w:hAnsi="Times"/>
          <w:i/>
          <w:iCs/>
        </w:rPr>
        <w:t>Hermès</w:t>
      </w:r>
      <w:r w:rsidRPr="00E10242">
        <w:rPr>
          <w:rFonts w:ascii="Times" w:hAnsi="Times"/>
        </w:rPr>
        <w:t>, 2002, no 1, p. 307-315.</w:t>
      </w:r>
    </w:p>
  </w:footnote>
  <w:footnote w:id="27">
    <w:p w14:paraId="75824E0D" w14:textId="67765F3B" w:rsidR="0008015C" w:rsidRPr="00E10242" w:rsidRDefault="0008015C" w:rsidP="00C53E52">
      <w:pPr>
        <w:pStyle w:val="notesbdp"/>
        <w:spacing w:after="0"/>
        <w:rPr>
          <w:rFonts w:ascii="Times" w:hAnsi="Times"/>
          <w:lang w:val="en-US"/>
        </w:rPr>
      </w:pPr>
      <w:r w:rsidRPr="00E10242">
        <w:rPr>
          <w:rStyle w:val="Appelnotedebasdep"/>
          <w:rFonts w:ascii="Times" w:hAnsi="Times" w:cs="Times New Roman"/>
        </w:rPr>
        <w:footnoteRef/>
      </w:r>
      <w:r w:rsidRPr="00E10242">
        <w:rPr>
          <w:rFonts w:ascii="Times" w:hAnsi="Times"/>
          <w:lang w:val="en-US"/>
        </w:rPr>
        <w:t xml:space="preserve"> David Abram, </w:t>
      </w:r>
      <w:r w:rsidRPr="00E10242">
        <w:rPr>
          <w:rFonts w:ascii="Times" w:hAnsi="Times"/>
          <w:i/>
          <w:iCs/>
          <w:lang w:val="en-US"/>
        </w:rPr>
        <w:t>The Spell of the Sensuous: Perception and Language in a More-Than-Human World</w:t>
      </w:r>
      <w:r w:rsidRPr="00E10242">
        <w:rPr>
          <w:rFonts w:ascii="Times" w:hAnsi="Times"/>
          <w:lang w:val="en-US"/>
        </w:rPr>
        <w:t xml:space="preserve">, 1996. </w:t>
      </w:r>
    </w:p>
  </w:footnote>
  <w:footnote w:id="28">
    <w:p w14:paraId="423B40B1" w14:textId="18105AF4" w:rsidR="0008015C" w:rsidRPr="00E10242" w:rsidRDefault="0008015C" w:rsidP="00C53E52">
      <w:pPr>
        <w:pStyle w:val="notesbdp"/>
        <w:spacing w:after="0"/>
        <w:rPr>
          <w:rFonts w:ascii="Times" w:hAnsi="Times"/>
          <w:lang w:val="en-GB"/>
        </w:rPr>
      </w:pPr>
      <w:r w:rsidRPr="00E10242">
        <w:rPr>
          <w:rStyle w:val="Appelnotedebasdep"/>
          <w:rFonts w:ascii="Times" w:hAnsi="Times" w:cs="Times New Roman"/>
        </w:rPr>
        <w:footnoteRef/>
      </w:r>
      <w:r w:rsidRPr="00E10242">
        <w:rPr>
          <w:rFonts w:ascii="Times" w:hAnsi="Times"/>
          <w:lang w:val="en-US"/>
        </w:rPr>
        <w:t xml:space="preserve"> </w:t>
      </w:r>
      <w:proofErr w:type="spellStart"/>
      <w:r w:rsidRPr="00E10242">
        <w:rPr>
          <w:rFonts w:ascii="Times" w:hAnsi="Times"/>
          <w:lang w:val="en-GB"/>
        </w:rPr>
        <w:t>Emiliy</w:t>
      </w:r>
      <w:proofErr w:type="spellEnd"/>
      <w:r w:rsidRPr="00E10242">
        <w:rPr>
          <w:rFonts w:ascii="Times" w:hAnsi="Times"/>
          <w:lang w:val="en-GB"/>
        </w:rPr>
        <w:t xml:space="preserve"> O’Gorman et Andrea Gaynor, « More-Than-Human Histories », </w:t>
      </w:r>
      <w:r w:rsidRPr="00E10242">
        <w:rPr>
          <w:rFonts w:ascii="Times" w:hAnsi="Times"/>
          <w:i/>
          <w:lang w:val="en-GB"/>
        </w:rPr>
        <w:t>Environmental History</w:t>
      </w:r>
      <w:r w:rsidRPr="00E10242">
        <w:rPr>
          <w:rFonts w:ascii="Times" w:hAnsi="Times"/>
          <w:lang w:val="en-GB"/>
        </w:rPr>
        <w:t>, 25 (4), 2020, p. 711-735.</w:t>
      </w:r>
    </w:p>
  </w:footnote>
  <w:footnote w:id="29">
    <w:p w14:paraId="4BAF195C" w14:textId="10ACB675" w:rsidR="00FF044C" w:rsidRPr="00E10242" w:rsidRDefault="00FF044C"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w:t>
      </w:r>
      <w:r w:rsidR="00411B4E" w:rsidRPr="00E10242">
        <w:rPr>
          <w:rFonts w:ascii="Times" w:hAnsi="Times"/>
        </w:rPr>
        <w:t>DGA</w:t>
      </w:r>
      <w:r w:rsidRPr="00E10242">
        <w:rPr>
          <w:rFonts w:ascii="Times" w:hAnsi="Times"/>
        </w:rPr>
        <w:t>DSCEN, 10.1-58, Contrôle biologique en Polynésie de 1964 à 1967</w:t>
      </w:r>
      <w:r w:rsidR="00411B4E" w:rsidRPr="00E10242">
        <w:rPr>
          <w:rFonts w:ascii="Times" w:hAnsi="Times"/>
        </w:rPr>
        <w:t>, p. 45.</w:t>
      </w:r>
    </w:p>
  </w:footnote>
  <w:footnote w:id="30">
    <w:p w14:paraId="3548CED2" w14:textId="633E3EAB" w:rsidR="0008015C" w:rsidRPr="00E10242" w:rsidRDefault="0008015C" w:rsidP="00C53E52">
      <w:pPr>
        <w:pStyle w:val="notesbdp"/>
        <w:spacing w:after="0"/>
        <w:rPr>
          <w:rFonts w:ascii="Times" w:hAnsi="Times"/>
          <w:lang w:val="en-GB"/>
        </w:rPr>
      </w:pPr>
      <w:r w:rsidRPr="00E10242">
        <w:rPr>
          <w:rStyle w:val="Appelnotedebasdep"/>
          <w:rFonts w:ascii="Times" w:hAnsi="Times" w:cs="Times New Roman"/>
        </w:rPr>
        <w:footnoteRef/>
      </w:r>
      <w:r w:rsidRPr="00E10242">
        <w:rPr>
          <w:rFonts w:ascii="Times" w:hAnsi="Times"/>
        </w:rPr>
        <w:t xml:space="preserve"> Bernadette </w:t>
      </w:r>
      <w:proofErr w:type="spellStart"/>
      <w:r w:rsidRPr="00E10242">
        <w:rPr>
          <w:rFonts w:ascii="Times" w:hAnsi="Times"/>
        </w:rPr>
        <w:t>Bensaude</w:t>
      </w:r>
      <w:proofErr w:type="spellEnd"/>
      <w:r w:rsidRPr="00E10242">
        <w:rPr>
          <w:rFonts w:ascii="Times" w:hAnsi="Times"/>
        </w:rPr>
        <w:t xml:space="preserve">-Vincent, </w:t>
      </w:r>
      <w:r w:rsidRPr="00E10242">
        <w:rPr>
          <w:rStyle w:val="Accentuation"/>
          <w:rFonts w:ascii="Times" w:hAnsi="Times" w:cs="Times New Roman"/>
        </w:rPr>
        <w:t>Temps-paysage. Pour une écologie des crises</w:t>
      </w:r>
      <w:r w:rsidRPr="00E10242">
        <w:rPr>
          <w:rFonts w:ascii="Times" w:hAnsi="Times"/>
        </w:rPr>
        <w:t xml:space="preserve">, Paris, Le Pommier, 2021 et </w:t>
      </w:r>
      <w:proofErr w:type="spellStart"/>
      <w:r w:rsidRPr="00E10242">
        <w:rPr>
          <w:rFonts w:ascii="Times" w:hAnsi="Times"/>
        </w:rPr>
        <w:t>Sverker</w:t>
      </w:r>
      <w:proofErr w:type="spellEnd"/>
      <w:r w:rsidRPr="00E10242">
        <w:rPr>
          <w:rFonts w:ascii="Times" w:hAnsi="Times"/>
        </w:rPr>
        <w:t xml:space="preserve"> </w:t>
      </w:r>
      <w:proofErr w:type="spellStart"/>
      <w:r w:rsidRPr="00E10242">
        <w:rPr>
          <w:rFonts w:ascii="Times" w:hAnsi="Times"/>
        </w:rPr>
        <w:t>Sörlin</w:t>
      </w:r>
      <w:proofErr w:type="spellEnd"/>
      <w:r w:rsidRPr="00E10242">
        <w:rPr>
          <w:rFonts w:ascii="Times" w:hAnsi="Times"/>
        </w:rPr>
        <w:t>, « </w:t>
      </w:r>
      <w:proofErr w:type="spellStart"/>
      <w:r w:rsidRPr="00E10242">
        <w:rPr>
          <w:rFonts w:ascii="Times" w:hAnsi="Times"/>
        </w:rPr>
        <w:t>Environmental</w:t>
      </w:r>
      <w:proofErr w:type="spellEnd"/>
      <w:r w:rsidRPr="00E10242">
        <w:rPr>
          <w:rFonts w:ascii="Times" w:hAnsi="Times"/>
        </w:rPr>
        <w:t xml:space="preserve"> Times. </w:t>
      </w:r>
      <w:r w:rsidRPr="00E10242">
        <w:rPr>
          <w:rFonts w:ascii="Times" w:hAnsi="Times"/>
          <w:lang w:val="en-GB"/>
        </w:rPr>
        <w:t xml:space="preserve">Synchronizing Human-Earth Temporalities from Annales to Anthropocene, 1920s–2020s », Anders </w:t>
      </w:r>
      <w:proofErr w:type="spellStart"/>
      <w:r w:rsidRPr="00E10242">
        <w:rPr>
          <w:rFonts w:ascii="Times" w:hAnsi="Times"/>
          <w:lang w:val="en-GB"/>
        </w:rPr>
        <w:t>Ekström</w:t>
      </w:r>
      <w:proofErr w:type="spellEnd"/>
      <w:r w:rsidRPr="00E10242">
        <w:rPr>
          <w:rFonts w:ascii="Times" w:hAnsi="Times"/>
          <w:lang w:val="en-GB"/>
        </w:rPr>
        <w:t xml:space="preserve"> and </w:t>
      </w:r>
      <w:proofErr w:type="spellStart"/>
      <w:r w:rsidRPr="00E10242">
        <w:rPr>
          <w:rFonts w:ascii="Times" w:hAnsi="Times"/>
          <w:lang w:val="en-GB"/>
        </w:rPr>
        <w:t>Staffan</w:t>
      </w:r>
      <w:proofErr w:type="spellEnd"/>
      <w:r w:rsidRPr="00E10242">
        <w:rPr>
          <w:rFonts w:ascii="Times" w:hAnsi="Times"/>
          <w:lang w:val="en-GB"/>
        </w:rPr>
        <w:t xml:space="preserve"> </w:t>
      </w:r>
      <w:proofErr w:type="spellStart"/>
      <w:r w:rsidRPr="00E10242">
        <w:rPr>
          <w:rFonts w:ascii="Times" w:hAnsi="Times"/>
          <w:lang w:val="en-GB"/>
        </w:rPr>
        <w:t>Bergwik</w:t>
      </w:r>
      <w:proofErr w:type="spellEnd"/>
      <w:r w:rsidRPr="00E10242">
        <w:rPr>
          <w:rFonts w:ascii="Times" w:hAnsi="Times"/>
          <w:lang w:val="en-GB"/>
        </w:rPr>
        <w:t xml:space="preserve">, </w:t>
      </w:r>
      <w:r w:rsidRPr="00E10242">
        <w:rPr>
          <w:rFonts w:ascii="Times" w:hAnsi="Times"/>
          <w:i/>
          <w:lang w:val="en-GB"/>
        </w:rPr>
        <w:t>Times of History, Times of Nature</w:t>
      </w:r>
      <w:r w:rsidRPr="00E10242">
        <w:rPr>
          <w:rFonts w:ascii="Times" w:hAnsi="Times"/>
          <w:lang w:val="en-GB"/>
        </w:rPr>
        <w:t xml:space="preserve">, New-York, </w:t>
      </w:r>
      <w:proofErr w:type="spellStart"/>
      <w:r w:rsidRPr="00E10242">
        <w:rPr>
          <w:rFonts w:ascii="Times" w:hAnsi="Times"/>
          <w:lang w:val="en-GB"/>
        </w:rPr>
        <w:t>Berghahn</w:t>
      </w:r>
      <w:proofErr w:type="spellEnd"/>
      <w:r w:rsidRPr="00E10242">
        <w:rPr>
          <w:rFonts w:ascii="Times" w:hAnsi="Times"/>
          <w:lang w:val="en-GB"/>
        </w:rPr>
        <w:t>, 2022.</w:t>
      </w:r>
    </w:p>
  </w:footnote>
  <w:footnote w:id="31">
    <w:p w14:paraId="05D99A3F" w14:textId="43345C80" w:rsidR="0008015C" w:rsidRPr="00E10242" w:rsidRDefault="0008015C"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Jean-Yves Meyer, « Le </w:t>
      </w:r>
      <w:proofErr w:type="spellStart"/>
      <w:r w:rsidRPr="00E10242">
        <w:rPr>
          <w:rFonts w:ascii="Times" w:hAnsi="Times"/>
        </w:rPr>
        <w:t>miconia</w:t>
      </w:r>
      <w:proofErr w:type="spellEnd"/>
      <w:r w:rsidRPr="00E10242">
        <w:rPr>
          <w:rFonts w:ascii="Times" w:hAnsi="Times"/>
        </w:rPr>
        <w:t xml:space="preserve">, “cancer vert” des forêts tropicales du Pacifique » in Philippe Lacombe </w:t>
      </w:r>
      <w:r w:rsidRPr="00E10242">
        <w:rPr>
          <w:rFonts w:ascii="Times" w:hAnsi="Times"/>
          <w:i/>
        </w:rPr>
        <w:t>et al.</w:t>
      </w:r>
      <w:r w:rsidRPr="00E10242">
        <w:rPr>
          <w:rFonts w:ascii="Times" w:hAnsi="Times"/>
        </w:rPr>
        <w:t xml:space="preserve"> (</w:t>
      </w:r>
      <w:proofErr w:type="spellStart"/>
      <w:proofErr w:type="gramStart"/>
      <w:r w:rsidRPr="00E10242">
        <w:rPr>
          <w:rFonts w:ascii="Times" w:hAnsi="Times"/>
        </w:rPr>
        <w:t>dir</w:t>
      </w:r>
      <w:proofErr w:type="spellEnd"/>
      <w:r w:rsidRPr="00E10242">
        <w:rPr>
          <w:rFonts w:ascii="Times" w:hAnsi="Times"/>
        </w:rPr>
        <w:t>.</w:t>
      </w:r>
      <w:proofErr w:type="gramEnd"/>
      <w:r w:rsidRPr="00E10242">
        <w:rPr>
          <w:rFonts w:ascii="Times" w:hAnsi="Times"/>
        </w:rPr>
        <w:t xml:space="preserve">) </w:t>
      </w:r>
      <w:r w:rsidRPr="00E10242">
        <w:rPr>
          <w:rFonts w:ascii="Times" w:hAnsi="Times"/>
          <w:i/>
        </w:rPr>
        <w:t>50 ans de recherche pour le développement en Polynésie</w:t>
      </w:r>
      <w:r w:rsidRPr="00E10242">
        <w:rPr>
          <w:rFonts w:ascii="Times" w:hAnsi="Times"/>
        </w:rPr>
        <w:t xml:space="preserve">, Paris, IRD Éditions, 2013, </w:t>
      </w:r>
      <w:hyperlink r:id="rId1" w:history="1">
        <w:r w:rsidRPr="00E10242">
          <w:rPr>
            <w:rStyle w:val="Lienhypertexte"/>
            <w:rFonts w:ascii="Times" w:hAnsi="Times" w:cs="Times New Roman"/>
          </w:rPr>
          <w:t>https://doi.org/10.4000/books.irdeditions.44380</w:t>
        </w:r>
      </w:hyperlink>
      <w:r w:rsidRPr="00E10242">
        <w:rPr>
          <w:rFonts w:ascii="Times" w:hAnsi="Times"/>
        </w:rPr>
        <w:t>.</w:t>
      </w:r>
    </w:p>
  </w:footnote>
  <w:footnote w:id="32">
    <w:p w14:paraId="071D6147" w14:textId="007B918A" w:rsidR="00411B4E" w:rsidRPr="00E10242" w:rsidRDefault="00411B4E" w:rsidP="00C53E52">
      <w:pPr>
        <w:pStyle w:val="notesbdp"/>
        <w:spacing w:after="0"/>
        <w:rPr>
          <w:rFonts w:ascii="Times" w:hAnsi="Times"/>
        </w:rPr>
      </w:pPr>
      <w:r w:rsidRPr="00E10242">
        <w:rPr>
          <w:rStyle w:val="Appelnotedebasdep"/>
          <w:rFonts w:ascii="Times" w:hAnsi="Times" w:cs="Times New Roman"/>
        </w:rPr>
        <w:footnoteRef/>
      </w:r>
      <w:r w:rsidRPr="00E10242">
        <w:rPr>
          <w:rFonts w:ascii="Times" w:hAnsi="Times"/>
        </w:rPr>
        <w:t xml:space="preserve"> </w:t>
      </w:r>
      <w:r w:rsidRPr="00E10242">
        <w:rPr>
          <w:rFonts w:ascii="Times" w:hAnsi="Times"/>
          <w:i/>
          <w:iCs/>
        </w:rPr>
        <w:t>Ibid</w:t>
      </w:r>
      <w:r w:rsidR="0008015C" w:rsidRPr="00E10242">
        <w:rPr>
          <w:rFonts w:ascii="Times" w:hAnsi="Times"/>
        </w:rPr>
        <w:t>.</w:t>
      </w:r>
      <w:r w:rsidRPr="00E10242">
        <w:rPr>
          <w:rFonts w:ascii="Times" w:hAnsi="Times"/>
        </w:rPr>
        <w:t>, p. 11</w:t>
      </w:r>
    </w:p>
  </w:footnote>
  <w:footnote w:id="33">
    <w:p w14:paraId="3D48F279" w14:textId="5C92B617" w:rsidR="008D7DF8" w:rsidRPr="00E10242" w:rsidRDefault="008D7DF8" w:rsidP="00C53E52">
      <w:pPr>
        <w:pStyle w:val="notesbdp"/>
        <w:spacing w:after="0"/>
        <w:rPr>
          <w:rFonts w:ascii="Times" w:hAnsi="Times"/>
        </w:rPr>
      </w:pPr>
      <w:r w:rsidRPr="00E10242">
        <w:rPr>
          <w:rStyle w:val="Appelnotedebasdep"/>
          <w:rFonts w:ascii="Times" w:hAnsi="Times"/>
        </w:rPr>
        <w:footnoteRef/>
      </w:r>
      <w:r w:rsidRPr="00E10242">
        <w:rPr>
          <w:rFonts w:ascii="Times" w:hAnsi="Times"/>
        </w:rPr>
        <w:t xml:space="preserve"> </w:t>
      </w:r>
      <w:r w:rsidR="00C0138E" w:rsidRPr="00E10242">
        <w:rPr>
          <w:rFonts w:ascii="Times" w:hAnsi="Times"/>
        </w:rPr>
        <w:t xml:space="preserve">Clémence </w:t>
      </w:r>
      <w:proofErr w:type="spellStart"/>
      <w:r w:rsidR="00C0138E" w:rsidRPr="00E10242">
        <w:rPr>
          <w:rFonts w:ascii="Times" w:hAnsi="Times"/>
        </w:rPr>
        <w:t>Maillochon</w:t>
      </w:r>
      <w:proofErr w:type="spellEnd"/>
      <w:r w:rsidR="00C0138E" w:rsidRPr="00E10242">
        <w:rPr>
          <w:rFonts w:ascii="Times" w:hAnsi="Times"/>
        </w:rPr>
        <w:t>, « Réseaux et circulations militantes contre le programme français d’essais nucléaires en Polynésie (1963-1998) », thèse soutenue</w:t>
      </w:r>
      <w:r w:rsidR="00777D02" w:rsidRPr="00E10242">
        <w:rPr>
          <w:rFonts w:ascii="Times" w:hAnsi="Times"/>
        </w:rPr>
        <w:t xml:space="preserve"> à Mulhouse</w:t>
      </w:r>
      <w:r w:rsidR="00C0138E" w:rsidRPr="00E10242">
        <w:rPr>
          <w:rFonts w:ascii="Times" w:hAnsi="Times"/>
        </w:rPr>
        <w:t xml:space="preserve"> le 28 septembre 2023,</w:t>
      </w:r>
    </w:p>
  </w:footnote>
  <w:footnote w:id="34">
    <w:p w14:paraId="7D11566E" w14:textId="03C3CE9A" w:rsidR="00777D02" w:rsidRPr="00E10242" w:rsidRDefault="004E5BB0" w:rsidP="00777D02">
      <w:pPr>
        <w:pStyle w:val="Notedebasdepage"/>
        <w:spacing w:after="0"/>
        <w:rPr>
          <w:rFonts w:ascii="Times" w:hAnsi="Times"/>
        </w:rPr>
      </w:pPr>
      <w:r w:rsidRPr="00E10242">
        <w:rPr>
          <w:rStyle w:val="Appelnotedebasdep"/>
          <w:rFonts w:ascii="Times" w:hAnsi="Times"/>
        </w:rPr>
        <w:footnoteRef/>
      </w:r>
      <w:r w:rsidRPr="00E10242">
        <w:rPr>
          <w:rFonts w:ascii="Times" w:hAnsi="Times"/>
        </w:rPr>
        <w:t xml:space="preserve"> Florence </w:t>
      </w:r>
      <w:proofErr w:type="spellStart"/>
      <w:r w:rsidRPr="00E10242">
        <w:rPr>
          <w:rFonts w:ascii="Times" w:hAnsi="Times"/>
        </w:rPr>
        <w:t>Mury</w:t>
      </w:r>
      <w:proofErr w:type="spellEnd"/>
      <w:r w:rsidRPr="00E10242">
        <w:rPr>
          <w:rFonts w:ascii="Times" w:hAnsi="Times"/>
        </w:rPr>
        <w:t xml:space="preserve">, </w:t>
      </w:r>
      <w:r w:rsidR="00777D02" w:rsidRPr="00E10242">
        <w:rPr>
          <w:rFonts w:ascii="Times" w:hAnsi="Times"/>
        </w:rPr>
        <w:t>« Les échelles des renaissances culturelles en Polynésie française », thèse soutenue à Limoges le 2 décembre 2022.</w:t>
      </w:r>
    </w:p>
  </w:footnote>
  <w:footnote w:id="35">
    <w:p w14:paraId="7F39EF16" w14:textId="14F921F8" w:rsidR="006C06F6" w:rsidRPr="00404B33" w:rsidRDefault="006C06F6" w:rsidP="006C06F6">
      <w:pPr>
        <w:pStyle w:val="Notedebasdepage"/>
        <w:keepLines/>
        <w:spacing w:after="0" w:line="240" w:lineRule="auto"/>
        <w:jc w:val="left"/>
        <w:rPr>
          <w:rFonts w:ascii="Times New Roman" w:hAnsi="Times New Roman" w:cs="Times New Roman"/>
        </w:rPr>
      </w:pPr>
      <w:r w:rsidRPr="00404B33">
        <w:rPr>
          <w:rStyle w:val="Appelnotedebasdep"/>
          <w:rFonts w:ascii="Times New Roman" w:hAnsi="Times New Roman" w:cs="Times New Roman"/>
        </w:rPr>
        <w:footnoteRef/>
      </w:r>
      <w:r w:rsidRPr="00404B33">
        <w:rPr>
          <w:rFonts w:ascii="Times New Roman" w:hAnsi="Times New Roman" w:cs="Times New Roman"/>
        </w:rPr>
        <w:t xml:space="preserve"> Forum communiqué, Honiara, Salomon </w:t>
      </w:r>
      <w:proofErr w:type="spellStart"/>
      <w:r w:rsidRPr="00404B33">
        <w:rPr>
          <w:rFonts w:ascii="Times New Roman" w:hAnsi="Times New Roman" w:cs="Times New Roman"/>
        </w:rPr>
        <w:t>Islands</w:t>
      </w:r>
      <w:proofErr w:type="spellEnd"/>
      <w:r w:rsidRPr="00404B33">
        <w:rPr>
          <w:rFonts w:ascii="Times New Roman" w:hAnsi="Times New Roman" w:cs="Times New Roman"/>
        </w:rPr>
        <w:t>, 9-10</w:t>
      </w:r>
      <w:r w:rsidR="00F214FC">
        <w:rPr>
          <w:rFonts w:ascii="Times New Roman" w:hAnsi="Times New Roman" w:cs="Times New Roman"/>
        </w:rPr>
        <w:t xml:space="preserve"> juillet </w:t>
      </w:r>
      <w:r w:rsidRPr="00404B33">
        <w:rPr>
          <w:rFonts w:ascii="Times New Roman" w:hAnsi="Times New Roman" w:cs="Times New Roman"/>
        </w:rPr>
        <w:t>1979.</w:t>
      </w:r>
    </w:p>
  </w:footnote>
  <w:footnote w:id="36">
    <w:p w14:paraId="100670E1" w14:textId="77777777" w:rsidR="006C06F6" w:rsidRPr="00404B33" w:rsidRDefault="006C06F6" w:rsidP="006C06F6">
      <w:pPr>
        <w:pStyle w:val="Notedebasdepage"/>
        <w:keepLines/>
        <w:spacing w:after="0" w:line="240" w:lineRule="auto"/>
        <w:jc w:val="left"/>
        <w:rPr>
          <w:rFonts w:ascii="Times New Roman" w:hAnsi="Times New Roman" w:cs="Times New Roman"/>
        </w:rPr>
      </w:pPr>
      <w:r w:rsidRPr="00404B33">
        <w:rPr>
          <w:rStyle w:val="Appelnotedebasdep"/>
          <w:rFonts w:ascii="Times New Roman" w:hAnsi="Times New Roman" w:cs="Times New Roman"/>
        </w:rPr>
        <w:footnoteRef/>
      </w:r>
      <w:r w:rsidRPr="00404B33">
        <w:rPr>
          <w:rFonts w:ascii="Times New Roman" w:hAnsi="Times New Roman" w:cs="Times New Roman"/>
        </w:rPr>
        <w:t xml:space="preserve"> Douze des vingt-neuf délégations représentent le Pacifique Sud : Australie, Nouvelle-Zélande, Îles Cook, Fidji, Kiribati, Nauru, Papouasie-Nouvelle-Guinée, Samoa occidentales, Îles Salomon, Tonga, Tuvalu et Vanuatu.</w:t>
      </w:r>
    </w:p>
  </w:footnote>
  <w:footnote w:id="37">
    <w:p w14:paraId="1869ABE4" w14:textId="097FA620" w:rsidR="00D46A36" w:rsidRPr="00D46A36" w:rsidRDefault="00D46A36" w:rsidP="00D46A36">
      <w:pPr>
        <w:pStyle w:val="Notedebasdepage"/>
        <w:rPr>
          <w:rFonts w:ascii="Times New Roman" w:hAnsi="Times New Roman" w:cs="Times New Roman"/>
        </w:rPr>
      </w:pPr>
      <w:r>
        <w:rPr>
          <w:rStyle w:val="Appelnotedebasdep"/>
        </w:rPr>
        <w:footnoteRef/>
      </w:r>
      <w:r>
        <w:t xml:space="preserve"> Sarah Mohamed-Gaillard, « </w:t>
      </w:r>
      <w:r w:rsidRPr="00404B33">
        <w:rPr>
          <w:rFonts w:ascii="Times New Roman" w:hAnsi="Times New Roman" w:cs="Times New Roman"/>
        </w:rPr>
        <w:t>De l’idée de dénucléarisation du Pacifique Sud au traité de Rarotonga (1962-1985). Le nucléaire au cœur de la vie régionale océanienne</w:t>
      </w:r>
      <w:r>
        <w:rPr>
          <w:rFonts w:ascii="Times New Roman" w:hAnsi="Times New Roman" w:cs="Times New Roman"/>
        </w:rPr>
        <w:t xml:space="preserve"> », </w:t>
      </w:r>
      <w:r w:rsidRPr="00D46A36">
        <w:rPr>
          <w:rFonts w:ascii="Times New Roman" w:hAnsi="Times New Roman" w:cs="Times New Roman"/>
        </w:rPr>
        <w:t xml:space="preserve">B. </w:t>
      </w:r>
      <w:proofErr w:type="spellStart"/>
      <w:r w:rsidRPr="00D46A36">
        <w:rPr>
          <w:rFonts w:ascii="Times New Roman" w:hAnsi="Times New Roman" w:cs="Times New Roman"/>
        </w:rPr>
        <w:t>Furst</w:t>
      </w:r>
      <w:proofErr w:type="spellEnd"/>
      <w:r w:rsidRPr="00D46A36">
        <w:rPr>
          <w:rFonts w:ascii="Times New Roman" w:hAnsi="Times New Roman" w:cs="Times New Roman"/>
        </w:rPr>
        <w:t>,</w:t>
      </w:r>
      <w:r>
        <w:rPr>
          <w:rFonts w:ascii="Times New Roman" w:hAnsi="Times New Roman" w:cs="Times New Roman"/>
        </w:rPr>
        <w:t xml:space="preserve"> </w:t>
      </w:r>
      <w:r>
        <w:t xml:space="preserve">R. </w:t>
      </w:r>
      <w:proofErr w:type="spellStart"/>
      <w:r>
        <w:t>Meltz</w:t>
      </w:r>
      <w:proofErr w:type="spellEnd"/>
      <w:r>
        <w:t xml:space="preserve">, A. </w:t>
      </w:r>
      <w:proofErr w:type="spellStart"/>
      <w:r>
        <w:t>Vrignon</w:t>
      </w:r>
      <w:proofErr w:type="spellEnd"/>
      <w:r>
        <w:t xml:space="preserve">, </w:t>
      </w:r>
      <w:r w:rsidRPr="00D87D00">
        <w:rPr>
          <w:i/>
          <w:iCs/>
        </w:rPr>
        <w:t>Un Deuxième contact </w:t>
      </w:r>
      <w:r>
        <w:rPr>
          <w:i/>
          <w:iCs/>
        </w:rPr>
        <w:t xml:space="preserve">op. </w:t>
      </w:r>
      <w:proofErr w:type="spellStart"/>
      <w:r>
        <w:rPr>
          <w:i/>
          <w:iCs/>
        </w:rPr>
        <w:t>cit</w:t>
      </w:r>
      <w:proofErr w:type="spellEnd"/>
      <w:r>
        <w:rPr>
          <w:i/>
          <w:iCs/>
        </w:rPr>
        <w:t>.</w:t>
      </w:r>
      <w:r>
        <w:t xml:space="preserve"> </w:t>
      </w:r>
      <w:proofErr w:type="gramStart"/>
      <w:r>
        <w:t>à</w:t>
      </w:r>
      <w:proofErr w:type="gramEnd"/>
      <w:r>
        <w:t xml:space="preserve"> paraître en 2024.</w:t>
      </w:r>
    </w:p>
    <w:p w14:paraId="2155078B" w14:textId="77777777" w:rsidR="00D46A36" w:rsidRDefault="00D46A36">
      <w:pPr>
        <w:pStyle w:val="Notedebasdepage"/>
      </w:pPr>
    </w:p>
  </w:footnote>
  <w:footnote w:id="38">
    <w:p w14:paraId="3013B2E1" w14:textId="43B8E36D" w:rsidR="009C5308" w:rsidRPr="00E10242" w:rsidRDefault="009C5308" w:rsidP="00777D02">
      <w:pPr>
        <w:pStyle w:val="notesbdp"/>
        <w:spacing w:after="0"/>
        <w:rPr>
          <w:rFonts w:ascii="Times" w:hAnsi="Times"/>
        </w:rPr>
      </w:pPr>
      <w:r w:rsidRPr="00E10242">
        <w:rPr>
          <w:rStyle w:val="Appelnotedebasdep"/>
          <w:rFonts w:ascii="Times" w:hAnsi="Times"/>
        </w:rPr>
        <w:footnoteRef/>
      </w:r>
      <w:r w:rsidRPr="00E10242">
        <w:rPr>
          <w:rFonts w:ascii="Times" w:hAnsi="Times"/>
        </w:rPr>
        <w:t xml:space="preserve"> </w:t>
      </w:r>
      <w:hyperlink r:id="rId2" w:history="1">
        <w:r w:rsidR="00871EE6" w:rsidRPr="00E10242">
          <w:rPr>
            <w:rStyle w:val="Lienhypertexte"/>
            <w:rFonts w:ascii="Times" w:hAnsi="Times"/>
          </w:rPr>
          <w:t>https://imagesdefense.gouv.fr/</w:t>
        </w:r>
      </w:hyperlink>
      <w:r w:rsidR="00871EE6" w:rsidRPr="00E10242">
        <w:rPr>
          <w:rFonts w:ascii="Times" w:hAnsi="Times"/>
        </w:rPr>
        <w:t xml:space="preserve"> </w:t>
      </w:r>
    </w:p>
  </w:footnote>
  <w:footnote w:id="39">
    <w:p w14:paraId="356E9476" w14:textId="4CE668C0" w:rsidR="00BB6B2C" w:rsidRPr="00E10242" w:rsidRDefault="00BB6B2C" w:rsidP="00C53E52">
      <w:pPr>
        <w:pStyle w:val="notesbdp"/>
        <w:spacing w:after="0"/>
        <w:rPr>
          <w:rFonts w:ascii="Times" w:hAnsi="Times"/>
        </w:rPr>
      </w:pPr>
      <w:r w:rsidRPr="00E10242">
        <w:rPr>
          <w:rStyle w:val="Appelnotedebasdep"/>
          <w:rFonts w:ascii="Times" w:hAnsi="Times"/>
        </w:rPr>
        <w:footnoteRef/>
      </w:r>
      <w:r w:rsidRPr="00E10242">
        <w:rPr>
          <w:rFonts w:ascii="Times" w:hAnsi="Times"/>
        </w:rPr>
        <w:t xml:space="preserve"> Jean-Baptiste </w:t>
      </w:r>
      <w:proofErr w:type="spellStart"/>
      <w:r w:rsidRPr="00E10242">
        <w:rPr>
          <w:rFonts w:ascii="Times" w:hAnsi="Times"/>
        </w:rPr>
        <w:t>Jeangène</w:t>
      </w:r>
      <w:proofErr w:type="spellEnd"/>
      <w:r w:rsidRPr="00E10242">
        <w:rPr>
          <w:rFonts w:ascii="Times" w:hAnsi="Times"/>
        </w:rPr>
        <w:t xml:space="preserve"> </w:t>
      </w:r>
      <w:proofErr w:type="spellStart"/>
      <w:r w:rsidRPr="00E10242">
        <w:rPr>
          <w:rFonts w:ascii="Times" w:hAnsi="Times"/>
        </w:rPr>
        <w:t>Vilmer</w:t>
      </w:r>
      <w:proofErr w:type="spellEnd"/>
      <w:r w:rsidRPr="00E10242">
        <w:rPr>
          <w:rFonts w:ascii="Times" w:hAnsi="Times"/>
        </w:rPr>
        <w:t xml:space="preserve">, Céline </w:t>
      </w:r>
      <w:proofErr w:type="spellStart"/>
      <w:r w:rsidRPr="00E10242">
        <w:rPr>
          <w:rFonts w:ascii="Times" w:hAnsi="Times"/>
        </w:rPr>
        <w:t>Jurgensen</w:t>
      </w:r>
      <w:proofErr w:type="spellEnd"/>
      <w:r w:rsidRPr="00E10242">
        <w:rPr>
          <w:rFonts w:ascii="Times" w:hAnsi="Times"/>
        </w:rPr>
        <w:t xml:space="preserve">, </w:t>
      </w:r>
      <w:r w:rsidRPr="00E10242">
        <w:rPr>
          <w:rFonts w:ascii="Times" w:hAnsi="Times"/>
          <w:i/>
          <w:iCs/>
        </w:rPr>
        <w:t>Imaginaires nucléaires. Représentations de l’arme nucléaire dans l’art et de la cuture</w:t>
      </w:r>
      <w:r w:rsidRPr="00E10242">
        <w:rPr>
          <w:rFonts w:ascii="Times" w:hAnsi="Times"/>
        </w:rPr>
        <w:t>, Paris, Odile Jacob,</w:t>
      </w:r>
      <w:r w:rsidRPr="00E10242">
        <w:rPr>
          <w:rFonts w:ascii="Times" w:hAnsi="Times"/>
          <w:i/>
          <w:iCs/>
        </w:rPr>
        <w:t xml:space="preserve"> </w:t>
      </w:r>
      <w:r w:rsidRPr="00E10242">
        <w:rPr>
          <w:rFonts w:ascii="Times" w:hAnsi="Times"/>
        </w:rPr>
        <w:t>2021.</w:t>
      </w:r>
    </w:p>
  </w:footnote>
  <w:footnote w:id="40">
    <w:p w14:paraId="2FAD0B27" w14:textId="7EA3F502" w:rsidR="00183E8F" w:rsidRPr="00E10242" w:rsidRDefault="00183E8F" w:rsidP="00C53E52">
      <w:pPr>
        <w:pStyle w:val="notesbdp"/>
        <w:spacing w:after="0"/>
        <w:rPr>
          <w:rFonts w:ascii="Times" w:hAnsi="Times"/>
        </w:rPr>
      </w:pPr>
      <w:r w:rsidRPr="00E10242">
        <w:rPr>
          <w:rStyle w:val="Appelnotedebasdep"/>
          <w:rFonts w:ascii="Times" w:hAnsi="Times"/>
        </w:rPr>
        <w:footnoteRef/>
      </w:r>
      <w:r w:rsidRPr="00E10242">
        <w:rPr>
          <w:rFonts w:ascii="Times" w:hAnsi="Times"/>
        </w:rPr>
        <w:t xml:space="preserve"> </w:t>
      </w:r>
      <w:proofErr w:type="spellStart"/>
      <w:r w:rsidRPr="00E10242">
        <w:rPr>
          <w:rFonts w:ascii="Times" w:hAnsi="Times"/>
        </w:rPr>
        <w:t>Tamatoa</w:t>
      </w:r>
      <w:proofErr w:type="spellEnd"/>
      <w:r w:rsidRPr="00E10242">
        <w:rPr>
          <w:rFonts w:ascii="Times" w:hAnsi="Times"/>
        </w:rPr>
        <w:t xml:space="preserve"> </w:t>
      </w:r>
      <w:proofErr w:type="spellStart"/>
      <w:r w:rsidRPr="00E10242">
        <w:rPr>
          <w:rFonts w:ascii="Times" w:hAnsi="Times"/>
        </w:rPr>
        <w:t>Bambridge</w:t>
      </w:r>
      <w:proofErr w:type="spellEnd"/>
      <w:r w:rsidRPr="00E10242">
        <w:rPr>
          <w:rFonts w:ascii="Times" w:hAnsi="Times"/>
        </w:rPr>
        <w:t xml:space="preserve">, « Traditions en mutation : le développement des médias en Polynésie française », </w:t>
      </w:r>
      <w:r w:rsidRPr="00E10242">
        <w:rPr>
          <w:rFonts w:ascii="Times" w:hAnsi="Times"/>
          <w:i/>
          <w:iCs/>
        </w:rPr>
        <w:t>L’Année sociologique</w:t>
      </w:r>
      <w:r w:rsidRPr="00E10242">
        <w:rPr>
          <w:rFonts w:ascii="Times" w:hAnsi="Times"/>
        </w:rPr>
        <w:t>, 2001, 51, n° 2, p. 365-390.</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F771C3"/>
    <w:multiLevelType w:val="hybridMultilevel"/>
    <w:tmpl w:val="28C0CC4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17B0006C"/>
    <w:multiLevelType w:val="multilevel"/>
    <w:tmpl w:val="B31A9A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11F62B0"/>
    <w:multiLevelType w:val="hybridMultilevel"/>
    <w:tmpl w:val="C6C6430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29100BEB"/>
    <w:multiLevelType w:val="hybridMultilevel"/>
    <w:tmpl w:val="0324EF1A"/>
    <w:lvl w:ilvl="0" w:tplc="4C0E32B0">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53B4673F"/>
    <w:multiLevelType w:val="hybridMultilevel"/>
    <w:tmpl w:val="FC40A95A"/>
    <w:lvl w:ilvl="0" w:tplc="409E81B8">
      <w:start w:val="1961"/>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72F20C6E"/>
    <w:multiLevelType w:val="hybridMultilevel"/>
    <w:tmpl w:val="A2169C34"/>
    <w:lvl w:ilvl="0" w:tplc="55C84B7E">
      <w:start w:val="2018"/>
      <w:numFmt w:val="bullet"/>
      <w:lvlText w:val="-"/>
      <w:lvlJc w:val="left"/>
      <w:pPr>
        <w:ind w:left="720" w:hanging="360"/>
      </w:pPr>
      <w:rPr>
        <w:rFonts w:ascii="Garamond" w:eastAsiaTheme="minorHAnsi" w:hAnsi="Garamond" w:cstheme="minorBid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7A2B124A"/>
    <w:multiLevelType w:val="hybridMultilevel"/>
    <w:tmpl w:val="16D67F82"/>
    <w:lvl w:ilvl="0" w:tplc="80A2268C">
      <w:numFmt w:val="bullet"/>
      <w:lvlText w:val=""/>
      <w:lvlJc w:val="left"/>
      <w:pPr>
        <w:ind w:left="720" w:hanging="360"/>
      </w:pPr>
      <w:rPr>
        <w:rFonts w:ascii="Wingdings" w:eastAsiaTheme="minorHAnsi" w:hAnsi="Wingdings"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6747236">
    <w:abstractNumId w:val="0"/>
  </w:num>
  <w:num w:numId="2" w16cid:durableId="1199123757">
    <w:abstractNumId w:val="2"/>
  </w:num>
  <w:num w:numId="3" w16cid:durableId="419260671">
    <w:abstractNumId w:val="5"/>
  </w:num>
  <w:num w:numId="4" w16cid:durableId="1571186778">
    <w:abstractNumId w:val="3"/>
  </w:num>
  <w:num w:numId="5" w16cid:durableId="434056302">
    <w:abstractNumId w:val="4"/>
  </w:num>
  <w:num w:numId="6" w16cid:durableId="1877889233">
    <w:abstractNumId w:val="6"/>
  </w:num>
  <w:num w:numId="7" w16cid:durableId="21427254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5"/>
  <w:hideGrammatical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49AA"/>
    <w:rsid w:val="00011250"/>
    <w:rsid w:val="00013527"/>
    <w:rsid w:val="00023B94"/>
    <w:rsid w:val="00024D7A"/>
    <w:rsid w:val="00030398"/>
    <w:rsid w:val="0004494B"/>
    <w:rsid w:val="00070D77"/>
    <w:rsid w:val="00073F49"/>
    <w:rsid w:val="0008015C"/>
    <w:rsid w:val="00082B91"/>
    <w:rsid w:val="00084C39"/>
    <w:rsid w:val="00086A5D"/>
    <w:rsid w:val="00095990"/>
    <w:rsid w:val="000A08DD"/>
    <w:rsid w:val="000A538A"/>
    <w:rsid w:val="000C0D42"/>
    <w:rsid w:val="000C1035"/>
    <w:rsid w:val="000D02F7"/>
    <w:rsid w:val="000D5646"/>
    <w:rsid w:val="000D5F61"/>
    <w:rsid w:val="000E7AF2"/>
    <w:rsid w:val="000F0B3E"/>
    <w:rsid w:val="000F13B4"/>
    <w:rsid w:val="000F70A4"/>
    <w:rsid w:val="0013150A"/>
    <w:rsid w:val="00132685"/>
    <w:rsid w:val="00144C5C"/>
    <w:rsid w:val="00145056"/>
    <w:rsid w:val="0015213F"/>
    <w:rsid w:val="00155369"/>
    <w:rsid w:val="001553A6"/>
    <w:rsid w:val="001606F3"/>
    <w:rsid w:val="0017092D"/>
    <w:rsid w:val="00174BFA"/>
    <w:rsid w:val="00176D65"/>
    <w:rsid w:val="00182977"/>
    <w:rsid w:val="00183373"/>
    <w:rsid w:val="00183E8F"/>
    <w:rsid w:val="00187ED7"/>
    <w:rsid w:val="00192816"/>
    <w:rsid w:val="0019623A"/>
    <w:rsid w:val="001A5B01"/>
    <w:rsid w:val="001D7B9C"/>
    <w:rsid w:val="001E3157"/>
    <w:rsid w:val="001F3BEB"/>
    <w:rsid w:val="00202F36"/>
    <w:rsid w:val="00221242"/>
    <w:rsid w:val="00231912"/>
    <w:rsid w:val="00240531"/>
    <w:rsid w:val="0025759A"/>
    <w:rsid w:val="00262C2C"/>
    <w:rsid w:val="00272899"/>
    <w:rsid w:val="0027616C"/>
    <w:rsid w:val="002806E2"/>
    <w:rsid w:val="00280FBD"/>
    <w:rsid w:val="002A200D"/>
    <w:rsid w:val="002B1BF1"/>
    <w:rsid w:val="002B4E1E"/>
    <w:rsid w:val="002E723D"/>
    <w:rsid w:val="002F04A1"/>
    <w:rsid w:val="00310FCE"/>
    <w:rsid w:val="00311AD6"/>
    <w:rsid w:val="003312D2"/>
    <w:rsid w:val="003401B8"/>
    <w:rsid w:val="0034516A"/>
    <w:rsid w:val="00351095"/>
    <w:rsid w:val="003707BA"/>
    <w:rsid w:val="00382429"/>
    <w:rsid w:val="003831E1"/>
    <w:rsid w:val="00384B0C"/>
    <w:rsid w:val="003A072F"/>
    <w:rsid w:val="003B2BE3"/>
    <w:rsid w:val="003C414B"/>
    <w:rsid w:val="003C564F"/>
    <w:rsid w:val="003D34C5"/>
    <w:rsid w:val="003F15C1"/>
    <w:rsid w:val="003F47FC"/>
    <w:rsid w:val="003F7D79"/>
    <w:rsid w:val="004023B2"/>
    <w:rsid w:val="00402920"/>
    <w:rsid w:val="00403656"/>
    <w:rsid w:val="00407C05"/>
    <w:rsid w:val="00410D5F"/>
    <w:rsid w:val="00411B4E"/>
    <w:rsid w:val="00417B1B"/>
    <w:rsid w:val="00432802"/>
    <w:rsid w:val="004371C7"/>
    <w:rsid w:val="00437B52"/>
    <w:rsid w:val="00444A77"/>
    <w:rsid w:val="00452B4A"/>
    <w:rsid w:val="00461F81"/>
    <w:rsid w:val="00467438"/>
    <w:rsid w:val="00474152"/>
    <w:rsid w:val="0048375E"/>
    <w:rsid w:val="0048398E"/>
    <w:rsid w:val="004913A6"/>
    <w:rsid w:val="004A14A6"/>
    <w:rsid w:val="004A33BC"/>
    <w:rsid w:val="004A6EAB"/>
    <w:rsid w:val="004B3431"/>
    <w:rsid w:val="004B675D"/>
    <w:rsid w:val="004C04BA"/>
    <w:rsid w:val="004C311E"/>
    <w:rsid w:val="004D384C"/>
    <w:rsid w:val="004D40A9"/>
    <w:rsid w:val="004D5BBA"/>
    <w:rsid w:val="004E5BB0"/>
    <w:rsid w:val="004E6A49"/>
    <w:rsid w:val="004F067F"/>
    <w:rsid w:val="004F1E2F"/>
    <w:rsid w:val="004F53FB"/>
    <w:rsid w:val="00501803"/>
    <w:rsid w:val="00501D9D"/>
    <w:rsid w:val="005057DB"/>
    <w:rsid w:val="00507C78"/>
    <w:rsid w:val="005132C7"/>
    <w:rsid w:val="005136FB"/>
    <w:rsid w:val="00520F39"/>
    <w:rsid w:val="00540D49"/>
    <w:rsid w:val="0054118B"/>
    <w:rsid w:val="005457E4"/>
    <w:rsid w:val="00545DF6"/>
    <w:rsid w:val="005472D0"/>
    <w:rsid w:val="00570336"/>
    <w:rsid w:val="00573BF8"/>
    <w:rsid w:val="005759DC"/>
    <w:rsid w:val="00587344"/>
    <w:rsid w:val="00590780"/>
    <w:rsid w:val="005A45E2"/>
    <w:rsid w:val="005A70A5"/>
    <w:rsid w:val="005A7A10"/>
    <w:rsid w:val="005D4796"/>
    <w:rsid w:val="005E49F3"/>
    <w:rsid w:val="00623B42"/>
    <w:rsid w:val="0062719A"/>
    <w:rsid w:val="00636A38"/>
    <w:rsid w:val="00646915"/>
    <w:rsid w:val="006600BE"/>
    <w:rsid w:val="006628EF"/>
    <w:rsid w:val="00663FFE"/>
    <w:rsid w:val="006654DF"/>
    <w:rsid w:val="00665D72"/>
    <w:rsid w:val="006735E8"/>
    <w:rsid w:val="006748B4"/>
    <w:rsid w:val="00674B4B"/>
    <w:rsid w:val="006906D5"/>
    <w:rsid w:val="00697FF6"/>
    <w:rsid w:val="006A235A"/>
    <w:rsid w:val="006A7007"/>
    <w:rsid w:val="006C06F6"/>
    <w:rsid w:val="006C7175"/>
    <w:rsid w:val="006D00A5"/>
    <w:rsid w:val="006E1F44"/>
    <w:rsid w:val="006E254D"/>
    <w:rsid w:val="006F0175"/>
    <w:rsid w:val="006F7FD8"/>
    <w:rsid w:val="00700FA6"/>
    <w:rsid w:val="0071149D"/>
    <w:rsid w:val="00711BA1"/>
    <w:rsid w:val="00711FD2"/>
    <w:rsid w:val="00713F01"/>
    <w:rsid w:val="00717A0E"/>
    <w:rsid w:val="00726586"/>
    <w:rsid w:val="00743D2B"/>
    <w:rsid w:val="00756827"/>
    <w:rsid w:val="00763637"/>
    <w:rsid w:val="00764662"/>
    <w:rsid w:val="00764DE5"/>
    <w:rsid w:val="007662D5"/>
    <w:rsid w:val="00766DD3"/>
    <w:rsid w:val="00777D02"/>
    <w:rsid w:val="00793659"/>
    <w:rsid w:val="00793CCC"/>
    <w:rsid w:val="007B6D53"/>
    <w:rsid w:val="007D785D"/>
    <w:rsid w:val="007E0EC8"/>
    <w:rsid w:val="007E6BFD"/>
    <w:rsid w:val="007F3A51"/>
    <w:rsid w:val="007F458A"/>
    <w:rsid w:val="00801736"/>
    <w:rsid w:val="00823A63"/>
    <w:rsid w:val="00824CF9"/>
    <w:rsid w:val="00865F52"/>
    <w:rsid w:val="00866803"/>
    <w:rsid w:val="00871EE6"/>
    <w:rsid w:val="00877824"/>
    <w:rsid w:val="00892152"/>
    <w:rsid w:val="008A48A1"/>
    <w:rsid w:val="008B2004"/>
    <w:rsid w:val="008C4CFA"/>
    <w:rsid w:val="008C7E92"/>
    <w:rsid w:val="008D1862"/>
    <w:rsid w:val="008D50C3"/>
    <w:rsid w:val="008D7DF8"/>
    <w:rsid w:val="008E6463"/>
    <w:rsid w:val="008F5506"/>
    <w:rsid w:val="008F5C8B"/>
    <w:rsid w:val="009057B7"/>
    <w:rsid w:val="00915CF0"/>
    <w:rsid w:val="009174FC"/>
    <w:rsid w:val="00933A3A"/>
    <w:rsid w:val="00941721"/>
    <w:rsid w:val="00943C56"/>
    <w:rsid w:val="00945598"/>
    <w:rsid w:val="009471D0"/>
    <w:rsid w:val="00947844"/>
    <w:rsid w:val="0095066A"/>
    <w:rsid w:val="00957747"/>
    <w:rsid w:val="0095785B"/>
    <w:rsid w:val="00960E07"/>
    <w:rsid w:val="00960EB6"/>
    <w:rsid w:val="00961767"/>
    <w:rsid w:val="009866CB"/>
    <w:rsid w:val="009C5308"/>
    <w:rsid w:val="009D054F"/>
    <w:rsid w:val="009D26FA"/>
    <w:rsid w:val="009D2C38"/>
    <w:rsid w:val="009D2D14"/>
    <w:rsid w:val="009D48CB"/>
    <w:rsid w:val="009D6F53"/>
    <w:rsid w:val="009E5C54"/>
    <w:rsid w:val="009F0091"/>
    <w:rsid w:val="009F1B5B"/>
    <w:rsid w:val="00A1002F"/>
    <w:rsid w:val="00A11F94"/>
    <w:rsid w:val="00A12555"/>
    <w:rsid w:val="00A1611F"/>
    <w:rsid w:val="00A21C27"/>
    <w:rsid w:val="00A47921"/>
    <w:rsid w:val="00A508A0"/>
    <w:rsid w:val="00A51A58"/>
    <w:rsid w:val="00A5633E"/>
    <w:rsid w:val="00A60B2A"/>
    <w:rsid w:val="00A61ECA"/>
    <w:rsid w:val="00A80E32"/>
    <w:rsid w:val="00A90EDF"/>
    <w:rsid w:val="00AA1584"/>
    <w:rsid w:val="00AB710F"/>
    <w:rsid w:val="00AD5273"/>
    <w:rsid w:val="00AD56AE"/>
    <w:rsid w:val="00AE47AB"/>
    <w:rsid w:val="00AE7709"/>
    <w:rsid w:val="00B0583A"/>
    <w:rsid w:val="00B117A6"/>
    <w:rsid w:val="00B16928"/>
    <w:rsid w:val="00B245F8"/>
    <w:rsid w:val="00B5236A"/>
    <w:rsid w:val="00B56EB4"/>
    <w:rsid w:val="00B57996"/>
    <w:rsid w:val="00B6386C"/>
    <w:rsid w:val="00B639C6"/>
    <w:rsid w:val="00B671D7"/>
    <w:rsid w:val="00B715C9"/>
    <w:rsid w:val="00B72401"/>
    <w:rsid w:val="00B83A5C"/>
    <w:rsid w:val="00B87607"/>
    <w:rsid w:val="00B91AC8"/>
    <w:rsid w:val="00BA02CC"/>
    <w:rsid w:val="00BA1E3E"/>
    <w:rsid w:val="00BA6716"/>
    <w:rsid w:val="00BB3F9D"/>
    <w:rsid w:val="00BB651C"/>
    <w:rsid w:val="00BB6B2C"/>
    <w:rsid w:val="00BB7F1A"/>
    <w:rsid w:val="00BC2161"/>
    <w:rsid w:val="00BD23EF"/>
    <w:rsid w:val="00BE2E2F"/>
    <w:rsid w:val="00BE5371"/>
    <w:rsid w:val="00C0138E"/>
    <w:rsid w:val="00C150DF"/>
    <w:rsid w:val="00C33FC6"/>
    <w:rsid w:val="00C37BC5"/>
    <w:rsid w:val="00C40DD8"/>
    <w:rsid w:val="00C416A6"/>
    <w:rsid w:val="00C42AAE"/>
    <w:rsid w:val="00C52BE3"/>
    <w:rsid w:val="00C53E52"/>
    <w:rsid w:val="00C63914"/>
    <w:rsid w:val="00C67CF7"/>
    <w:rsid w:val="00C75C1A"/>
    <w:rsid w:val="00C773B3"/>
    <w:rsid w:val="00C77590"/>
    <w:rsid w:val="00C80E91"/>
    <w:rsid w:val="00C913AB"/>
    <w:rsid w:val="00C97E44"/>
    <w:rsid w:val="00CC172E"/>
    <w:rsid w:val="00CC2BFD"/>
    <w:rsid w:val="00CC5C03"/>
    <w:rsid w:val="00CD3A40"/>
    <w:rsid w:val="00CD4451"/>
    <w:rsid w:val="00CD7E52"/>
    <w:rsid w:val="00CF242C"/>
    <w:rsid w:val="00D0389C"/>
    <w:rsid w:val="00D14A34"/>
    <w:rsid w:val="00D15202"/>
    <w:rsid w:val="00D2370F"/>
    <w:rsid w:val="00D2602C"/>
    <w:rsid w:val="00D314A6"/>
    <w:rsid w:val="00D334C7"/>
    <w:rsid w:val="00D437F4"/>
    <w:rsid w:val="00D4510F"/>
    <w:rsid w:val="00D460EB"/>
    <w:rsid w:val="00D46A36"/>
    <w:rsid w:val="00D571D8"/>
    <w:rsid w:val="00D62A4B"/>
    <w:rsid w:val="00D65233"/>
    <w:rsid w:val="00D65FE1"/>
    <w:rsid w:val="00D7287A"/>
    <w:rsid w:val="00D76EDB"/>
    <w:rsid w:val="00D87947"/>
    <w:rsid w:val="00D91FB7"/>
    <w:rsid w:val="00D95F59"/>
    <w:rsid w:val="00D96760"/>
    <w:rsid w:val="00D97B3D"/>
    <w:rsid w:val="00DA0396"/>
    <w:rsid w:val="00DA4AF6"/>
    <w:rsid w:val="00DA6741"/>
    <w:rsid w:val="00DA7AC5"/>
    <w:rsid w:val="00DB00A0"/>
    <w:rsid w:val="00DB78AE"/>
    <w:rsid w:val="00DC6EBD"/>
    <w:rsid w:val="00DD16A4"/>
    <w:rsid w:val="00E02627"/>
    <w:rsid w:val="00E05B96"/>
    <w:rsid w:val="00E10242"/>
    <w:rsid w:val="00E10743"/>
    <w:rsid w:val="00E12827"/>
    <w:rsid w:val="00E211AC"/>
    <w:rsid w:val="00E37098"/>
    <w:rsid w:val="00E373CD"/>
    <w:rsid w:val="00E37952"/>
    <w:rsid w:val="00E441F5"/>
    <w:rsid w:val="00E6728B"/>
    <w:rsid w:val="00E67CCA"/>
    <w:rsid w:val="00E72E61"/>
    <w:rsid w:val="00EA716B"/>
    <w:rsid w:val="00EB69F6"/>
    <w:rsid w:val="00EC15C9"/>
    <w:rsid w:val="00EC3B2C"/>
    <w:rsid w:val="00EC7C9B"/>
    <w:rsid w:val="00ED26F8"/>
    <w:rsid w:val="00ED29AB"/>
    <w:rsid w:val="00EE1986"/>
    <w:rsid w:val="00EE48E8"/>
    <w:rsid w:val="00EF15CA"/>
    <w:rsid w:val="00EF1B7C"/>
    <w:rsid w:val="00EF1BBE"/>
    <w:rsid w:val="00EF7408"/>
    <w:rsid w:val="00F02418"/>
    <w:rsid w:val="00F04322"/>
    <w:rsid w:val="00F20EEC"/>
    <w:rsid w:val="00F214FC"/>
    <w:rsid w:val="00F2572A"/>
    <w:rsid w:val="00F2639B"/>
    <w:rsid w:val="00F30C93"/>
    <w:rsid w:val="00F33D3B"/>
    <w:rsid w:val="00F4349D"/>
    <w:rsid w:val="00F919C0"/>
    <w:rsid w:val="00F9275D"/>
    <w:rsid w:val="00F948ED"/>
    <w:rsid w:val="00F95C84"/>
    <w:rsid w:val="00FA09CD"/>
    <w:rsid w:val="00FA617C"/>
    <w:rsid w:val="00FB2E00"/>
    <w:rsid w:val="00FB49AA"/>
    <w:rsid w:val="00FC6BA6"/>
    <w:rsid w:val="00FE0557"/>
    <w:rsid w:val="00FE2820"/>
    <w:rsid w:val="00FF044C"/>
    <w:rsid w:val="00FF7041"/>
    <w:rsid w:val="00FF726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014159"/>
  <w15:chartTrackingRefBased/>
  <w15:docId w15:val="{2A96935B-40E0-0143-9C1E-2076067837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fr-FR" w:eastAsia="en-US" w:bidi="ar-SA"/>
        <w14:ligatures w14:val="standardContextual"/>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7747"/>
    <w:pPr>
      <w:spacing w:after="160" w:line="259" w:lineRule="auto"/>
    </w:pPr>
    <w:rPr>
      <w:rFonts w:ascii="Garamond" w:hAnsi="Garamond"/>
      <w:kern w:val="0"/>
      <w:szCs w:val="22"/>
      <w14:ligatures w14:val="none"/>
    </w:rPr>
  </w:style>
  <w:style w:type="paragraph" w:styleId="Titre1">
    <w:name w:val="heading 1"/>
    <w:basedOn w:val="Normal"/>
    <w:link w:val="Titre1Car"/>
    <w:uiPriority w:val="9"/>
    <w:qFormat/>
    <w:rsid w:val="00D460EB"/>
    <w:pPr>
      <w:spacing w:before="100" w:beforeAutospacing="1" w:after="100" w:afterAutospacing="1" w:line="240" w:lineRule="auto"/>
      <w:jc w:val="left"/>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next w:val="Normal"/>
    <w:link w:val="Titre2Car"/>
    <w:uiPriority w:val="9"/>
    <w:unhideWhenUsed/>
    <w:qFormat/>
    <w:rsid w:val="00EF1BB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itre3">
    <w:name w:val="heading 3"/>
    <w:basedOn w:val="Normal"/>
    <w:next w:val="Normal"/>
    <w:link w:val="Titre3Car"/>
    <w:uiPriority w:val="9"/>
    <w:unhideWhenUsed/>
    <w:qFormat/>
    <w:rsid w:val="002806E2"/>
    <w:pPr>
      <w:keepNext/>
      <w:keepLines/>
      <w:spacing w:before="40" w:after="0"/>
      <w:outlineLvl w:val="2"/>
    </w:pPr>
    <w:rPr>
      <w:rFonts w:asciiTheme="majorHAnsi" w:eastAsiaTheme="majorEastAsia" w:hAnsiTheme="majorHAnsi" w:cstheme="majorBidi"/>
      <w:color w:val="1F3763" w:themeColor="accent1" w:themeShade="7F"/>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basedOn w:val="Normal"/>
    <w:uiPriority w:val="1"/>
    <w:qFormat/>
    <w:rsid w:val="00957747"/>
    <w:pPr>
      <w:spacing w:after="0" w:line="240" w:lineRule="auto"/>
    </w:pPr>
  </w:style>
  <w:style w:type="paragraph" w:customStyle="1" w:styleId="notesbdp">
    <w:name w:val="notes bdp"/>
    <w:basedOn w:val="Notedebasdepage"/>
    <w:qFormat/>
    <w:rsid w:val="00743D2B"/>
    <w:rPr>
      <w:rFonts w:ascii="Times New Roman" w:hAnsi="Times New Roman"/>
    </w:rPr>
  </w:style>
  <w:style w:type="paragraph" w:styleId="Citation">
    <w:name w:val="Quote"/>
    <w:basedOn w:val="Normal"/>
    <w:next w:val="Normal"/>
    <w:link w:val="CitationCar"/>
    <w:autoRedefine/>
    <w:uiPriority w:val="29"/>
    <w:qFormat/>
    <w:rsid w:val="002A200D"/>
    <w:pPr>
      <w:spacing w:before="200"/>
      <w:ind w:left="862" w:right="862"/>
      <w:contextualSpacing/>
    </w:pPr>
    <w:rPr>
      <w:color w:val="404040" w:themeColor="text1" w:themeTint="BF"/>
      <w:sz w:val="22"/>
    </w:rPr>
  </w:style>
  <w:style w:type="character" w:customStyle="1" w:styleId="CitationCar">
    <w:name w:val="Citation Car"/>
    <w:basedOn w:val="Policepardfaut"/>
    <w:link w:val="Citation"/>
    <w:uiPriority w:val="29"/>
    <w:rsid w:val="002A200D"/>
    <w:rPr>
      <w:rFonts w:ascii="Garamond" w:hAnsi="Garamond" w:cs="Times New Roman"/>
      <w:color w:val="404040" w:themeColor="text1" w:themeTint="BF"/>
      <w:sz w:val="22"/>
      <w:szCs w:val="22"/>
      <w:lang w:eastAsia="fr-FR"/>
    </w:rPr>
  </w:style>
  <w:style w:type="paragraph" w:styleId="Notedebasdepage">
    <w:name w:val="footnote text"/>
    <w:aliases w:val="Note de bas de page Car Car Car Car,Note de bas de page Car Car Car Car Car Car,Note de bas de page Car Car Car,Note de bas de page Car Car Car Car Car Car Car Car Car Car Car Car Car Car Car Car Car Car Car Car Car Car Car Car,Car C"/>
    <w:basedOn w:val="Normal"/>
    <w:link w:val="NotedebasdepageCar"/>
    <w:uiPriority w:val="99"/>
    <w:unhideWhenUsed/>
    <w:qFormat/>
    <w:rsid w:val="00743D2B"/>
    <w:rPr>
      <w:sz w:val="20"/>
      <w:szCs w:val="20"/>
    </w:rPr>
  </w:style>
  <w:style w:type="character" w:customStyle="1" w:styleId="NotedebasdepageCar">
    <w:name w:val="Note de bas de page Car"/>
    <w:aliases w:val="Note de bas de page Car Car Car Car Car,Note de bas de page Car Car Car Car Car Car Car,Note de bas de page Car Car Car Car1,Car C Car"/>
    <w:basedOn w:val="Policepardfaut"/>
    <w:link w:val="Notedebasdepage"/>
    <w:uiPriority w:val="99"/>
    <w:qFormat/>
    <w:rsid w:val="00743D2B"/>
    <w:rPr>
      <w:rFonts w:ascii="Garamond" w:hAnsi="Garamond" w:cs="Times New Roman"/>
      <w:sz w:val="20"/>
      <w:szCs w:val="20"/>
      <w:lang w:eastAsia="fr-FR"/>
    </w:rPr>
  </w:style>
  <w:style w:type="character" w:styleId="Appelnotedebasdep">
    <w:name w:val="footnote reference"/>
    <w:aliases w:val="Appel de note de bas de p.,Appel notes CAS,Appel de n,Appel"/>
    <w:basedOn w:val="Policepardfaut"/>
    <w:uiPriority w:val="99"/>
    <w:unhideWhenUsed/>
    <w:qFormat/>
    <w:rsid w:val="003401B8"/>
    <w:rPr>
      <w:vertAlign w:val="superscript"/>
    </w:rPr>
  </w:style>
  <w:style w:type="character" w:customStyle="1" w:styleId="Titre1Car">
    <w:name w:val="Titre 1 Car"/>
    <w:basedOn w:val="Policepardfaut"/>
    <w:link w:val="Titre1"/>
    <w:uiPriority w:val="9"/>
    <w:rsid w:val="00D460EB"/>
    <w:rPr>
      <w:rFonts w:ascii="Times New Roman" w:eastAsia="Times New Roman" w:hAnsi="Times New Roman" w:cs="Times New Roman"/>
      <w:b/>
      <w:bCs/>
      <w:kern w:val="36"/>
      <w:sz w:val="48"/>
      <w:szCs w:val="48"/>
      <w:lang w:eastAsia="fr-FR"/>
      <w14:ligatures w14:val="none"/>
    </w:rPr>
  </w:style>
  <w:style w:type="character" w:styleId="Accentuation">
    <w:name w:val="Emphasis"/>
    <w:basedOn w:val="Policepardfaut"/>
    <w:uiPriority w:val="20"/>
    <w:qFormat/>
    <w:rsid w:val="00B117A6"/>
    <w:rPr>
      <w:i/>
      <w:iCs/>
    </w:rPr>
  </w:style>
  <w:style w:type="character" w:customStyle="1" w:styleId="Titre2Car">
    <w:name w:val="Titre 2 Car"/>
    <w:basedOn w:val="Policepardfaut"/>
    <w:link w:val="Titre2"/>
    <w:uiPriority w:val="9"/>
    <w:rsid w:val="00EF1BBE"/>
    <w:rPr>
      <w:rFonts w:asciiTheme="majorHAnsi" w:eastAsiaTheme="majorEastAsia" w:hAnsiTheme="majorHAnsi" w:cstheme="majorBidi"/>
      <w:color w:val="2F5496" w:themeColor="accent1" w:themeShade="BF"/>
      <w:kern w:val="0"/>
      <w:sz w:val="26"/>
      <w:szCs w:val="26"/>
      <w14:ligatures w14:val="none"/>
    </w:rPr>
  </w:style>
  <w:style w:type="character" w:styleId="lev">
    <w:name w:val="Strong"/>
    <w:basedOn w:val="Policepardfaut"/>
    <w:uiPriority w:val="22"/>
    <w:qFormat/>
    <w:rsid w:val="00D314A6"/>
    <w:rPr>
      <w:b/>
      <w:bCs/>
    </w:rPr>
  </w:style>
  <w:style w:type="character" w:customStyle="1" w:styleId="familyname">
    <w:name w:val="familyname"/>
    <w:basedOn w:val="Policepardfaut"/>
    <w:rsid w:val="00D314A6"/>
  </w:style>
  <w:style w:type="paragraph" w:styleId="Paragraphedeliste">
    <w:name w:val="List Paragraph"/>
    <w:basedOn w:val="Normal"/>
    <w:uiPriority w:val="34"/>
    <w:qFormat/>
    <w:rsid w:val="00EF1B7C"/>
    <w:pPr>
      <w:ind w:left="720"/>
      <w:contextualSpacing/>
    </w:pPr>
  </w:style>
  <w:style w:type="character" w:customStyle="1" w:styleId="Titre3Car">
    <w:name w:val="Titre 3 Car"/>
    <w:basedOn w:val="Policepardfaut"/>
    <w:link w:val="Titre3"/>
    <w:uiPriority w:val="9"/>
    <w:rsid w:val="002806E2"/>
    <w:rPr>
      <w:rFonts w:asciiTheme="majorHAnsi" w:eastAsiaTheme="majorEastAsia" w:hAnsiTheme="majorHAnsi" w:cstheme="majorBidi"/>
      <w:color w:val="1F3763" w:themeColor="accent1" w:themeShade="7F"/>
      <w:kern w:val="0"/>
      <w14:ligatures w14:val="none"/>
    </w:rPr>
  </w:style>
  <w:style w:type="character" w:customStyle="1" w:styleId="font-bold">
    <w:name w:val="font-bold"/>
    <w:basedOn w:val="Policepardfaut"/>
    <w:rsid w:val="00726586"/>
  </w:style>
  <w:style w:type="character" w:customStyle="1" w:styleId="italic">
    <w:name w:val="italic"/>
    <w:basedOn w:val="Policepardfaut"/>
    <w:rsid w:val="00726586"/>
  </w:style>
  <w:style w:type="paragraph" w:customStyle="1" w:styleId="inline-block">
    <w:name w:val="inline-block"/>
    <w:basedOn w:val="Normal"/>
    <w:rsid w:val="00382429"/>
    <w:pPr>
      <w:spacing w:before="100" w:beforeAutospacing="1" w:after="100" w:afterAutospacing="1" w:line="240" w:lineRule="auto"/>
      <w:jc w:val="left"/>
    </w:pPr>
    <w:rPr>
      <w:rFonts w:ascii="Times New Roman" w:eastAsia="Times New Roman" w:hAnsi="Times New Roman" w:cs="Times New Roman"/>
      <w:szCs w:val="24"/>
      <w:lang w:eastAsia="fr-FR"/>
    </w:rPr>
  </w:style>
  <w:style w:type="character" w:customStyle="1" w:styleId="cursor-not-allowed">
    <w:name w:val="cursor-not-allowed"/>
    <w:basedOn w:val="Policepardfaut"/>
    <w:rsid w:val="00382429"/>
  </w:style>
  <w:style w:type="character" w:customStyle="1" w:styleId="showresume">
    <w:name w:val="showresume"/>
    <w:basedOn w:val="Policepardfaut"/>
    <w:rsid w:val="00960E07"/>
  </w:style>
  <w:style w:type="paragraph" w:styleId="Commentaire">
    <w:name w:val="annotation text"/>
    <w:basedOn w:val="Normal"/>
    <w:link w:val="CommentaireCar"/>
    <w:uiPriority w:val="99"/>
    <w:unhideWhenUsed/>
    <w:rsid w:val="003312D2"/>
    <w:pPr>
      <w:spacing w:line="240" w:lineRule="auto"/>
    </w:pPr>
    <w:rPr>
      <w:sz w:val="20"/>
      <w:szCs w:val="20"/>
    </w:rPr>
  </w:style>
  <w:style w:type="character" w:customStyle="1" w:styleId="CommentaireCar">
    <w:name w:val="Commentaire Car"/>
    <w:basedOn w:val="Policepardfaut"/>
    <w:link w:val="Commentaire"/>
    <w:uiPriority w:val="99"/>
    <w:rsid w:val="003312D2"/>
    <w:rPr>
      <w:rFonts w:ascii="Garamond" w:hAnsi="Garamond"/>
      <w:kern w:val="0"/>
      <w:sz w:val="20"/>
      <w:szCs w:val="20"/>
      <w14:ligatures w14:val="none"/>
    </w:rPr>
  </w:style>
  <w:style w:type="character" w:styleId="Textedelespacerserv">
    <w:name w:val="Placeholder Text"/>
    <w:basedOn w:val="Policepardfaut"/>
    <w:uiPriority w:val="99"/>
    <w:semiHidden/>
    <w:rsid w:val="00023B94"/>
    <w:rPr>
      <w:color w:val="808080"/>
    </w:rPr>
  </w:style>
  <w:style w:type="character" w:styleId="Lienhypertexte">
    <w:name w:val="Hyperlink"/>
    <w:basedOn w:val="Policepardfaut"/>
    <w:uiPriority w:val="99"/>
    <w:unhideWhenUsed/>
    <w:rsid w:val="005A70A5"/>
    <w:rPr>
      <w:color w:val="0563C1" w:themeColor="hyperlink"/>
      <w:u w:val="single"/>
    </w:rPr>
  </w:style>
  <w:style w:type="character" w:styleId="Mentionnonrsolue">
    <w:name w:val="Unresolved Mention"/>
    <w:basedOn w:val="Policepardfaut"/>
    <w:uiPriority w:val="99"/>
    <w:semiHidden/>
    <w:unhideWhenUsed/>
    <w:rsid w:val="005A70A5"/>
    <w:rPr>
      <w:color w:val="605E5C"/>
      <w:shd w:val="clear" w:color="auto" w:fill="E1DFDD"/>
    </w:rPr>
  </w:style>
  <w:style w:type="character" w:styleId="Marquedecommentaire">
    <w:name w:val="annotation reference"/>
    <w:basedOn w:val="Policepardfaut"/>
    <w:uiPriority w:val="99"/>
    <w:semiHidden/>
    <w:unhideWhenUsed/>
    <w:rsid w:val="00947844"/>
    <w:rPr>
      <w:sz w:val="16"/>
      <w:szCs w:val="16"/>
    </w:rPr>
  </w:style>
  <w:style w:type="paragraph" w:styleId="NormalWeb">
    <w:name w:val="Normal (Web)"/>
    <w:basedOn w:val="Normal"/>
    <w:uiPriority w:val="99"/>
    <w:semiHidden/>
    <w:unhideWhenUsed/>
    <w:rsid w:val="00432802"/>
    <w:pPr>
      <w:spacing w:before="100" w:beforeAutospacing="1" w:after="100" w:afterAutospacing="1" w:line="240" w:lineRule="auto"/>
      <w:jc w:val="left"/>
    </w:pPr>
    <w:rPr>
      <w:rFonts w:ascii="Times New Roman" w:eastAsia="Times New Roman" w:hAnsi="Times New Roman" w:cs="Times New Roman"/>
      <w:szCs w:val="24"/>
      <w:lang w:eastAsia="fr-FR"/>
    </w:rPr>
  </w:style>
  <w:style w:type="character" w:customStyle="1" w:styleId="apple-converted-space">
    <w:name w:val="apple-converted-space"/>
    <w:basedOn w:val="Policepardfaut"/>
    <w:rsid w:val="004E6A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389866">
      <w:bodyDiv w:val="1"/>
      <w:marLeft w:val="0"/>
      <w:marRight w:val="0"/>
      <w:marTop w:val="0"/>
      <w:marBottom w:val="0"/>
      <w:divBdr>
        <w:top w:val="none" w:sz="0" w:space="0" w:color="auto"/>
        <w:left w:val="none" w:sz="0" w:space="0" w:color="auto"/>
        <w:bottom w:val="none" w:sz="0" w:space="0" w:color="auto"/>
        <w:right w:val="none" w:sz="0" w:space="0" w:color="auto"/>
      </w:divBdr>
      <w:divsChild>
        <w:div w:id="1574856841">
          <w:marLeft w:val="0"/>
          <w:marRight w:val="0"/>
          <w:marTop w:val="0"/>
          <w:marBottom w:val="0"/>
          <w:divBdr>
            <w:top w:val="none" w:sz="0" w:space="0" w:color="auto"/>
            <w:left w:val="none" w:sz="0" w:space="0" w:color="auto"/>
            <w:bottom w:val="none" w:sz="0" w:space="0" w:color="auto"/>
            <w:right w:val="none" w:sz="0" w:space="0" w:color="auto"/>
          </w:divBdr>
        </w:div>
      </w:divsChild>
    </w:div>
    <w:div w:id="521283748">
      <w:bodyDiv w:val="1"/>
      <w:marLeft w:val="0"/>
      <w:marRight w:val="0"/>
      <w:marTop w:val="0"/>
      <w:marBottom w:val="0"/>
      <w:divBdr>
        <w:top w:val="none" w:sz="0" w:space="0" w:color="auto"/>
        <w:left w:val="none" w:sz="0" w:space="0" w:color="auto"/>
        <w:bottom w:val="none" w:sz="0" w:space="0" w:color="auto"/>
        <w:right w:val="none" w:sz="0" w:space="0" w:color="auto"/>
      </w:divBdr>
    </w:div>
    <w:div w:id="580527374">
      <w:bodyDiv w:val="1"/>
      <w:marLeft w:val="0"/>
      <w:marRight w:val="0"/>
      <w:marTop w:val="0"/>
      <w:marBottom w:val="0"/>
      <w:divBdr>
        <w:top w:val="none" w:sz="0" w:space="0" w:color="auto"/>
        <w:left w:val="none" w:sz="0" w:space="0" w:color="auto"/>
        <w:bottom w:val="none" w:sz="0" w:space="0" w:color="auto"/>
        <w:right w:val="none" w:sz="0" w:space="0" w:color="auto"/>
      </w:divBdr>
    </w:div>
    <w:div w:id="585386032">
      <w:bodyDiv w:val="1"/>
      <w:marLeft w:val="0"/>
      <w:marRight w:val="0"/>
      <w:marTop w:val="0"/>
      <w:marBottom w:val="0"/>
      <w:divBdr>
        <w:top w:val="none" w:sz="0" w:space="0" w:color="auto"/>
        <w:left w:val="none" w:sz="0" w:space="0" w:color="auto"/>
        <w:bottom w:val="none" w:sz="0" w:space="0" w:color="auto"/>
        <w:right w:val="none" w:sz="0" w:space="0" w:color="auto"/>
      </w:divBdr>
    </w:div>
    <w:div w:id="691803374">
      <w:bodyDiv w:val="1"/>
      <w:marLeft w:val="0"/>
      <w:marRight w:val="0"/>
      <w:marTop w:val="0"/>
      <w:marBottom w:val="0"/>
      <w:divBdr>
        <w:top w:val="none" w:sz="0" w:space="0" w:color="auto"/>
        <w:left w:val="none" w:sz="0" w:space="0" w:color="auto"/>
        <w:bottom w:val="none" w:sz="0" w:space="0" w:color="auto"/>
        <w:right w:val="none" w:sz="0" w:space="0" w:color="auto"/>
      </w:divBdr>
    </w:div>
    <w:div w:id="1231647339">
      <w:bodyDiv w:val="1"/>
      <w:marLeft w:val="0"/>
      <w:marRight w:val="0"/>
      <w:marTop w:val="0"/>
      <w:marBottom w:val="0"/>
      <w:divBdr>
        <w:top w:val="none" w:sz="0" w:space="0" w:color="auto"/>
        <w:left w:val="none" w:sz="0" w:space="0" w:color="auto"/>
        <w:bottom w:val="none" w:sz="0" w:space="0" w:color="auto"/>
        <w:right w:val="none" w:sz="0" w:space="0" w:color="auto"/>
      </w:divBdr>
    </w:div>
    <w:div w:id="1932274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irculations.cep@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imagesdefense.gouv.fr/" TargetMode="External"/><Relationship Id="rId1" Type="http://schemas.openxmlformats.org/officeDocument/2006/relationships/hyperlink" Target="https://doi.org/10.4000/books.irdeditions.44380"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4643E6-D3C7-40D9-806D-F34F5EBCBB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13</Pages>
  <Words>6708</Words>
  <Characters>36898</Characters>
  <Application>Microsoft Office Word</Application>
  <DocSecurity>0</DocSecurity>
  <Lines>307</Lines>
  <Paragraphs>87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43519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Renaud M</dc:creator>
  <cp:keywords/>
  <dc:description/>
  <cp:lastModifiedBy>Renaud M</cp:lastModifiedBy>
  <cp:revision>4</cp:revision>
  <cp:lastPrinted>2024-10-29T10:16:00Z</cp:lastPrinted>
  <dcterms:created xsi:type="dcterms:W3CDTF">2024-10-29T11:55:00Z</dcterms:created>
  <dcterms:modified xsi:type="dcterms:W3CDTF">2024-10-31T09:06:00Z</dcterms:modified>
</cp:coreProperties>
</file>