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08D3" w14:textId="7777777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proofErr w:type="spellStart"/>
      <w:r w:rsidRPr="00404DA8">
        <w:rPr>
          <w:rFonts w:ascii="Garamond" w:eastAsia="Times New Roman" w:hAnsi="Garamond" w:cs="Times New Roman"/>
          <w:b/>
          <w:bCs/>
          <w:sz w:val="24"/>
          <w:szCs w:val="24"/>
          <w:lang w:val="en-GB" w:eastAsia="fr-FR"/>
        </w:rPr>
        <w:t>Ta'ata</w:t>
      </w:r>
      <w:proofErr w:type="spellEnd"/>
      <w:r w:rsidRPr="00404DA8">
        <w:rPr>
          <w:rFonts w:ascii="Garamond" w:eastAsia="Times New Roman" w:hAnsi="Garamond" w:cs="Times New Roman"/>
          <w:b/>
          <w:bCs/>
          <w:sz w:val="24"/>
          <w:szCs w:val="24"/>
          <w:lang w:val="en-GB" w:eastAsia="fr-FR"/>
        </w:rPr>
        <w:t>, Tuna, and Concrete: Reflecting on Nuclear Tests Through Circulations</w:t>
      </w:r>
    </w:p>
    <w:p w14:paraId="1D124332" w14:textId="0D7FDD7F" w:rsidR="009354F2" w:rsidRPr="00404DA8" w:rsidRDefault="009354F2" w:rsidP="00B24007">
      <w:pPr>
        <w:spacing w:before="100" w:beforeAutospacing="1" w:after="100" w:afterAutospacing="1" w:line="240" w:lineRule="auto"/>
        <w:rPr>
          <w:rFonts w:ascii="Garamond" w:eastAsia="Times New Roman" w:hAnsi="Garamond" w:cs="Times New Roman"/>
          <w:i/>
          <w:sz w:val="20"/>
          <w:szCs w:val="24"/>
          <w:lang w:val="en-GB" w:eastAsia="fr-FR"/>
        </w:rPr>
      </w:pPr>
      <w:r w:rsidRPr="00404DA8">
        <w:rPr>
          <w:rFonts w:ascii="Garamond" w:eastAsia="Times New Roman" w:hAnsi="Garamond" w:cs="Times New Roman"/>
          <w:b/>
          <w:bCs/>
          <w:i/>
          <w:sz w:val="20"/>
          <w:szCs w:val="24"/>
          <w:lang w:val="en-GB" w:eastAsia="fr-FR"/>
        </w:rPr>
        <w:t>Conference in Pape</w:t>
      </w:r>
      <w:r w:rsidR="00B24007">
        <w:rPr>
          <w:rFonts w:ascii="Garamond" w:eastAsia="Times New Roman" w:hAnsi="Garamond" w:cs="Times New Roman"/>
          <w:b/>
          <w:bCs/>
          <w:i/>
          <w:sz w:val="20"/>
          <w:szCs w:val="24"/>
          <w:lang w:val="en-GB" w:eastAsia="fr-FR"/>
        </w:rPr>
        <w:t>’</w:t>
      </w:r>
      <w:r w:rsidRPr="00404DA8">
        <w:rPr>
          <w:rFonts w:ascii="Garamond" w:eastAsia="Times New Roman" w:hAnsi="Garamond" w:cs="Times New Roman"/>
          <w:b/>
          <w:bCs/>
          <w:i/>
          <w:sz w:val="20"/>
          <w:szCs w:val="24"/>
          <w:lang w:val="en-GB" w:eastAsia="fr-FR"/>
        </w:rPr>
        <w:t>ete, October 8–10, 2025</w:t>
      </w:r>
      <w:r w:rsidRPr="00404DA8">
        <w:rPr>
          <w:rFonts w:ascii="Garamond" w:eastAsia="Times New Roman" w:hAnsi="Garamond" w:cs="Times New Roman"/>
          <w:i/>
          <w:sz w:val="20"/>
          <w:szCs w:val="24"/>
          <w:lang w:val="en-GB" w:eastAsia="fr-FR"/>
        </w:rPr>
        <w:br/>
      </w:r>
      <w:r w:rsidRPr="00404DA8">
        <w:rPr>
          <w:rFonts w:ascii="Garamond" w:eastAsia="Times New Roman" w:hAnsi="Garamond" w:cs="Times New Roman"/>
          <w:b/>
          <w:bCs/>
          <w:i/>
          <w:sz w:val="20"/>
          <w:szCs w:val="24"/>
          <w:lang w:val="en-GB" w:eastAsia="fr-FR"/>
        </w:rPr>
        <w:t>Call for Papers</w:t>
      </w:r>
    </w:p>
    <w:p w14:paraId="60A8A603" w14:textId="347FFE77" w:rsidR="009354F2" w:rsidRPr="00404DA8" w:rsidRDefault="00A42394"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A42394">
        <w:rPr>
          <w:rFonts w:ascii="Garamond" w:eastAsia="Times New Roman" w:hAnsi="Garamond" w:cs="Times New Roman"/>
          <w:sz w:val="24"/>
          <w:szCs w:val="24"/>
          <w:lang w:val="en-GB" w:eastAsia="fr-FR"/>
        </w:rPr>
        <w:t>This conference seeks to historicise the C</w:t>
      </w:r>
      <w:r>
        <w:rPr>
          <w:rFonts w:ascii="Garamond" w:eastAsia="Times New Roman" w:hAnsi="Garamond" w:cs="Times New Roman"/>
          <w:sz w:val="24"/>
          <w:szCs w:val="24"/>
          <w:lang w:val="en-GB" w:eastAsia="fr-FR"/>
        </w:rPr>
        <w:t xml:space="preserve">entre </w:t>
      </w:r>
      <w:proofErr w:type="spellStart"/>
      <w:r>
        <w:rPr>
          <w:rFonts w:ascii="Garamond" w:eastAsia="Times New Roman" w:hAnsi="Garamond" w:cs="Times New Roman"/>
          <w:sz w:val="24"/>
          <w:szCs w:val="24"/>
          <w:lang w:val="en-GB" w:eastAsia="fr-FR"/>
        </w:rPr>
        <w:t>d’</w:t>
      </w:r>
      <w:r w:rsidRPr="00A42394">
        <w:rPr>
          <w:rFonts w:ascii="Garamond" w:eastAsia="Times New Roman" w:hAnsi="Garamond" w:cs="Times New Roman"/>
          <w:sz w:val="24"/>
          <w:szCs w:val="24"/>
          <w:lang w:val="en-GB" w:eastAsia="fr-FR"/>
        </w:rPr>
        <w:t>E</w:t>
      </w:r>
      <w:r>
        <w:rPr>
          <w:rFonts w:ascii="Garamond" w:eastAsia="Times New Roman" w:hAnsi="Garamond" w:cs="Times New Roman"/>
          <w:sz w:val="24"/>
          <w:szCs w:val="24"/>
          <w:lang w:val="en-GB" w:eastAsia="fr-FR"/>
        </w:rPr>
        <w:t>xpérimentations</w:t>
      </w:r>
      <w:proofErr w:type="spellEnd"/>
      <w:r>
        <w:rPr>
          <w:rFonts w:ascii="Garamond" w:eastAsia="Times New Roman" w:hAnsi="Garamond" w:cs="Times New Roman"/>
          <w:sz w:val="24"/>
          <w:szCs w:val="24"/>
          <w:lang w:val="en-GB" w:eastAsia="fr-FR"/>
        </w:rPr>
        <w:t xml:space="preserve"> du </w:t>
      </w:r>
      <w:proofErr w:type="spellStart"/>
      <w:r w:rsidRPr="00A42394">
        <w:rPr>
          <w:rFonts w:ascii="Garamond" w:eastAsia="Times New Roman" w:hAnsi="Garamond" w:cs="Times New Roman"/>
          <w:sz w:val="24"/>
          <w:szCs w:val="24"/>
          <w:lang w:val="en-GB" w:eastAsia="fr-FR"/>
        </w:rPr>
        <w:t>P</w:t>
      </w:r>
      <w:r>
        <w:rPr>
          <w:rFonts w:ascii="Garamond" w:eastAsia="Times New Roman" w:hAnsi="Garamond" w:cs="Times New Roman"/>
          <w:sz w:val="24"/>
          <w:szCs w:val="24"/>
          <w:lang w:val="en-GB" w:eastAsia="fr-FR"/>
        </w:rPr>
        <w:t>acifique</w:t>
      </w:r>
      <w:proofErr w:type="spellEnd"/>
      <w:r w:rsidRPr="00A42394">
        <w:rPr>
          <w:rFonts w:ascii="Garamond" w:eastAsia="Times New Roman" w:hAnsi="Garamond" w:cs="Times New Roman"/>
          <w:sz w:val="24"/>
          <w:szCs w:val="24"/>
          <w:lang w:val="en-GB" w:eastAsia="fr-FR"/>
        </w:rPr>
        <w:t xml:space="preserve"> and other nuclear test sites in the Pacific through a series of circulations </w:t>
      </w:r>
      <w:r>
        <w:rPr>
          <w:rFonts w:ascii="Garamond" w:eastAsia="Times New Roman" w:hAnsi="Garamond" w:cs="Times New Roman"/>
          <w:sz w:val="24"/>
          <w:szCs w:val="24"/>
          <w:lang w:val="en-GB" w:eastAsia="fr-FR"/>
        </w:rPr>
        <w:t>(</w:t>
      </w:r>
      <w:r w:rsidRPr="00C93E78">
        <w:rPr>
          <w:rFonts w:ascii="Garamond" w:eastAsia="Times New Roman" w:hAnsi="Garamond" w:cs="Times New Roman"/>
          <w:sz w:val="24"/>
          <w:szCs w:val="24"/>
          <w:lang w:val="en-GB" w:eastAsia="fr-FR"/>
        </w:rPr>
        <w:t xml:space="preserve">biota, experts, labour </w:t>
      </w:r>
      <w:r>
        <w:rPr>
          <w:rFonts w:ascii="Garamond" w:eastAsia="Times New Roman" w:hAnsi="Garamond" w:cs="Times New Roman"/>
          <w:sz w:val="24"/>
          <w:szCs w:val="24"/>
          <w:lang w:val="en-GB" w:eastAsia="fr-FR"/>
        </w:rPr>
        <w:t xml:space="preserve">or </w:t>
      </w:r>
      <w:r w:rsidRPr="00C93E78">
        <w:rPr>
          <w:rFonts w:ascii="Garamond" w:eastAsia="Times New Roman" w:hAnsi="Garamond" w:cs="Times New Roman"/>
          <w:sz w:val="24"/>
          <w:szCs w:val="24"/>
          <w:lang w:val="en-GB" w:eastAsia="fr-FR"/>
        </w:rPr>
        <w:t>technologies</w:t>
      </w:r>
      <w:r>
        <w:rPr>
          <w:rFonts w:ascii="Garamond" w:eastAsia="Times New Roman" w:hAnsi="Garamond" w:cs="Times New Roman"/>
          <w:sz w:val="24"/>
          <w:szCs w:val="24"/>
          <w:lang w:val="en-GB" w:eastAsia="fr-FR"/>
        </w:rPr>
        <w:t xml:space="preserve"> for instance).</w:t>
      </w:r>
      <w:r w:rsidRPr="00A42394">
        <w:rPr>
          <w:rFonts w:ascii="Garamond" w:eastAsia="Times New Roman" w:hAnsi="Garamond" w:cs="Times New Roman"/>
          <w:sz w:val="24"/>
          <w:szCs w:val="24"/>
          <w:lang w:val="en-GB" w:eastAsia="fr-FR"/>
        </w:rPr>
        <w:t>and spatial relations</w:t>
      </w:r>
      <w:r w:rsidRPr="00A42394" w:rsidDel="00A42394">
        <w:rPr>
          <w:rFonts w:ascii="Garamond" w:eastAsia="Times New Roman" w:hAnsi="Garamond" w:cs="Times New Roman"/>
          <w:sz w:val="24"/>
          <w:szCs w:val="24"/>
          <w:lang w:val="en-GB" w:eastAsia="fr-FR"/>
        </w:rPr>
        <w:t xml:space="preserve"> </w:t>
      </w:r>
      <w:r w:rsidR="009354F2" w:rsidRPr="00404DA8">
        <w:rPr>
          <w:rFonts w:ascii="Garamond" w:eastAsia="Times New Roman" w:hAnsi="Garamond" w:cs="Times New Roman"/>
          <w:sz w:val="24"/>
          <w:szCs w:val="24"/>
          <w:lang w:val="en-GB" w:eastAsia="fr-FR"/>
        </w:rPr>
        <w:t xml:space="preserve">The goal is not to describe exchanges related to the CEP solely from two poles—the </w:t>
      </w:r>
      <w:r w:rsidR="00CA2633" w:rsidRPr="00404DA8">
        <w:rPr>
          <w:rFonts w:ascii="Garamond" w:eastAsia="Times New Roman" w:hAnsi="Garamond" w:cs="Times New Roman"/>
          <w:sz w:val="24"/>
          <w:szCs w:val="24"/>
          <w:lang w:val="en-GB" w:eastAsia="fr-FR"/>
        </w:rPr>
        <w:t xml:space="preserve">mainland </w:t>
      </w:r>
      <w:r w:rsidR="009354F2" w:rsidRPr="00404DA8">
        <w:rPr>
          <w:rFonts w:ascii="Garamond" w:eastAsia="Times New Roman" w:hAnsi="Garamond" w:cs="Times New Roman"/>
          <w:sz w:val="24"/>
          <w:szCs w:val="24"/>
          <w:lang w:val="en-GB" w:eastAsia="fr-FR"/>
        </w:rPr>
        <w:t>and the entity created by the colonization process, "French Polynesia"—but to move beyond the diffusionist model of linear, unidirectional transfers from Europe to the Pacific. Instead, it will account for more complex and enriched interplay of scales and circulations, incorporating feedback effects and reciprocal movements.</w:t>
      </w:r>
    </w:p>
    <w:p w14:paraId="40F59A8E" w14:textId="3B0E526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 xml:space="preserve">This approach seeks to </w:t>
      </w:r>
      <w:r w:rsidR="00D2454E" w:rsidRPr="00404DA8">
        <w:rPr>
          <w:rFonts w:ascii="Garamond" w:eastAsia="Times New Roman" w:hAnsi="Garamond" w:cs="Times New Roman"/>
          <w:sz w:val="24"/>
          <w:szCs w:val="24"/>
          <w:lang w:val="en-GB" w:eastAsia="fr-FR"/>
        </w:rPr>
        <w:t>bring nuance to</w:t>
      </w:r>
      <w:r w:rsidRPr="00404DA8">
        <w:rPr>
          <w:rFonts w:ascii="Garamond" w:eastAsia="Times New Roman" w:hAnsi="Garamond" w:cs="Times New Roman"/>
          <w:sz w:val="24"/>
          <w:szCs w:val="24"/>
          <w:lang w:val="en-GB" w:eastAsia="fr-FR"/>
        </w:rPr>
        <w:t xml:space="preserve"> an exceptionalist view of nuclear activit</w:t>
      </w:r>
      <w:r w:rsidR="00D2454E" w:rsidRPr="00404DA8">
        <w:rPr>
          <w:rFonts w:ascii="Garamond" w:eastAsia="Times New Roman" w:hAnsi="Garamond" w:cs="Times New Roman"/>
          <w:sz w:val="24"/>
          <w:szCs w:val="24"/>
          <w:lang w:val="en-GB" w:eastAsia="fr-FR"/>
        </w:rPr>
        <w:t>ies, which reduces them</w:t>
      </w:r>
      <w:r w:rsidRPr="00404DA8">
        <w:rPr>
          <w:rFonts w:ascii="Garamond" w:eastAsia="Times New Roman" w:hAnsi="Garamond" w:cs="Times New Roman"/>
          <w:sz w:val="24"/>
          <w:szCs w:val="24"/>
          <w:lang w:val="en-GB" w:eastAsia="fr-FR"/>
        </w:rPr>
        <w:t xml:space="preserve"> to overarching but vague explanatory </w:t>
      </w:r>
      <w:r w:rsidR="00555090">
        <w:rPr>
          <w:rFonts w:ascii="Garamond" w:eastAsia="Times New Roman" w:hAnsi="Garamond" w:cs="Times New Roman"/>
          <w:sz w:val="24"/>
          <w:szCs w:val="24"/>
          <w:lang w:val="en-GB" w:eastAsia="fr-FR"/>
        </w:rPr>
        <w:t>indices</w:t>
      </w:r>
      <w:r w:rsidRPr="00404DA8">
        <w:rPr>
          <w:rFonts w:ascii="Garamond" w:eastAsia="Times New Roman" w:hAnsi="Garamond" w:cs="Times New Roman"/>
          <w:sz w:val="24"/>
          <w:szCs w:val="24"/>
          <w:lang w:val="en-GB" w:eastAsia="fr-FR"/>
        </w:rPr>
        <w:t>, indiscriminately attributed to all historical phenomena affecting Polynesia during the CEP era. We propose four themes to explore these circulations, blending tangibl</w:t>
      </w:r>
      <w:r w:rsidR="00D2454E" w:rsidRPr="00404DA8">
        <w:rPr>
          <w:rFonts w:ascii="Garamond" w:eastAsia="Times New Roman" w:hAnsi="Garamond" w:cs="Times New Roman"/>
          <w:sz w:val="24"/>
          <w:szCs w:val="24"/>
          <w:lang w:val="en-GB" w:eastAsia="fr-FR"/>
        </w:rPr>
        <w:t>e and intangible, institutional</w:t>
      </w:r>
      <w:r w:rsidRPr="00404DA8">
        <w:rPr>
          <w:rFonts w:ascii="Garamond" w:eastAsia="Times New Roman" w:hAnsi="Garamond" w:cs="Times New Roman"/>
          <w:sz w:val="24"/>
          <w:szCs w:val="24"/>
          <w:lang w:val="en-GB" w:eastAsia="fr-FR"/>
        </w:rPr>
        <w:t xml:space="preserve"> and natural elements:</w:t>
      </w:r>
    </w:p>
    <w:p w14:paraId="29370EC8" w14:textId="77777777" w:rsidR="009354F2" w:rsidRPr="00404DA8" w:rsidRDefault="009354F2" w:rsidP="002C42F3">
      <w:pPr>
        <w:numPr>
          <w:ilvl w:val="0"/>
          <w:numId w:val="1"/>
        </w:numPr>
        <w:spacing w:before="100" w:beforeAutospacing="1" w:after="100" w:afterAutospacing="1" w:line="240" w:lineRule="auto"/>
        <w:jc w:val="both"/>
        <w:rPr>
          <w:rFonts w:ascii="Garamond" w:eastAsia="Times New Roman" w:hAnsi="Garamond" w:cs="Times New Roman"/>
          <w:sz w:val="24"/>
          <w:szCs w:val="24"/>
          <w:lang w:eastAsia="fr-FR"/>
        </w:rPr>
      </w:pPr>
      <w:proofErr w:type="spellStart"/>
      <w:r w:rsidRPr="00404DA8">
        <w:rPr>
          <w:rFonts w:ascii="Garamond" w:eastAsia="Times New Roman" w:hAnsi="Garamond" w:cs="Times New Roman"/>
          <w:sz w:val="24"/>
          <w:szCs w:val="24"/>
          <w:lang w:eastAsia="fr-FR"/>
        </w:rPr>
        <w:t>Technical</w:t>
      </w:r>
      <w:proofErr w:type="spellEnd"/>
      <w:r w:rsidRPr="00404DA8">
        <w:rPr>
          <w:rFonts w:ascii="Garamond" w:eastAsia="Times New Roman" w:hAnsi="Garamond" w:cs="Times New Roman"/>
          <w:sz w:val="24"/>
          <w:szCs w:val="24"/>
          <w:lang w:eastAsia="fr-FR"/>
        </w:rPr>
        <w:t xml:space="preserve"> and productive </w:t>
      </w:r>
      <w:proofErr w:type="spellStart"/>
      <w:proofErr w:type="gramStart"/>
      <w:r w:rsidRPr="00404DA8">
        <w:rPr>
          <w:rFonts w:ascii="Garamond" w:eastAsia="Times New Roman" w:hAnsi="Garamond" w:cs="Times New Roman"/>
          <w:sz w:val="24"/>
          <w:szCs w:val="24"/>
          <w:lang w:eastAsia="fr-FR"/>
        </w:rPr>
        <w:t>systems</w:t>
      </w:r>
      <w:proofErr w:type="spellEnd"/>
      <w:r w:rsidRPr="00404DA8">
        <w:rPr>
          <w:rFonts w:ascii="Garamond" w:eastAsia="Times New Roman" w:hAnsi="Garamond" w:cs="Times New Roman"/>
          <w:sz w:val="24"/>
          <w:szCs w:val="24"/>
          <w:lang w:eastAsia="fr-FR"/>
        </w:rPr>
        <w:t>;</w:t>
      </w:r>
      <w:proofErr w:type="gramEnd"/>
    </w:p>
    <w:p w14:paraId="403ED64A" w14:textId="77777777" w:rsidR="009354F2" w:rsidRPr="00404DA8" w:rsidRDefault="009354F2" w:rsidP="002C42F3">
      <w:pPr>
        <w:numPr>
          <w:ilvl w:val="0"/>
          <w:numId w:val="1"/>
        </w:numPr>
        <w:spacing w:before="100" w:beforeAutospacing="1" w:after="100" w:afterAutospacing="1" w:line="240" w:lineRule="auto"/>
        <w:jc w:val="both"/>
        <w:rPr>
          <w:rFonts w:ascii="Garamond" w:eastAsia="Times New Roman" w:hAnsi="Garamond" w:cs="Times New Roman"/>
          <w:sz w:val="24"/>
          <w:szCs w:val="24"/>
          <w:lang w:eastAsia="fr-FR"/>
        </w:rPr>
      </w:pPr>
      <w:r w:rsidRPr="00404DA8">
        <w:rPr>
          <w:rFonts w:ascii="Garamond" w:eastAsia="Times New Roman" w:hAnsi="Garamond" w:cs="Times New Roman"/>
          <w:sz w:val="24"/>
          <w:szCs w:val="24"/>
          <w:lang w:eastAsia="fr-FR"/>
        </w:rPr>
        <w:t xml:space="preserve">The </w:t>
      </w:r>
      <w:proofErr w:type="spellStart"/>
      <w:proofErr w:type="gramStart"/>
      <w:r w:rsidRPr="00404DA8">
        <w:rPr>
          <w:rFonts w:ascii="Garamond" w:eastAsia="Times New Roman" w:hAnsi="Garamond" w:cs="Times New Roman"/>
          <w:sz w:val="24"/>
          <w:szCs w:val="24"/>
          <w:lang w:eastAsia="fr-FR"/>
        </w:rPr>
        <w:t>family</w:t>
      </w:r>
      <w:proofErr w:type="spellEnd"/>
      <w:r w:rsidRPr="00404DA8">
        <w:rPr>
          <w:rFonts w:ascii="Garamond" w:eastAsia="Times New Roman" w:hAnsi="Garamond" w:cs="Times New Roman"/>
          <w:sz w:val="24"/>
          <w:szCs w:val="24"/>
          <w:lang w:eastAsia="fr-FR"/>
        </w:rPr>
        <w:t>;</w:t>
      </w:r>
      <w:proofErr w:type="gramEnd"/>
    </w:p>
    <w:p w14:paraId="45AFA13C" w14:textId="77777777" w:rsidR="009354F2" w:rsidRPr="00404DA8" w:rsidRDefault="009354F2" w:rsidP="002C42F3">
      <w:pPr>
        <w:numPr>
          <w:ilvl w:val="0"/>
          <w:numId w:val="1"/>
        </w:numPr>
        <w:spacing w:before="100" w:beforeAutospacing="1" w:after="100" w:afterAutospacing="1" w:line="240" w:lineRule="auto"/>
        <w:jc w:val="both"/>
        <w:rPr>
          <w:rFonts w:ascii="Garamond" w:eastAsia="Times New Roman" w:hAnsi="Garamond" w:cs="Times New Roman"/>
          <w:sz w:val="24"/>
          <w:szCs w:val="24"/>
          <w:lang w:eastAsia="fr-FR"/>
        </w:rPr>
      </w:pPr>
      <w:r w:rsidRPr="00404DA8">
        <w:rPr>
          <w:rFonts w:ascii="Garamond" w:eastAsia="Times New Roman" w:hAnsi="Garamond" w:cs="Times New Roman"/>
          <w:sz w:val="24"/>
          <w:szCs w:val="24"/>
          <w:lang w:eastAsia="fr-FR"/>
        </w:rPr>
        <w:t>Non-</w:t>
      </w:r>
      <w:proofErr w:type="spellStart"/>
      <w:r w:rsidRPr="00404DA8">
        <w:rPr>
          <w:rFonts w:ascii="Garamond" w:eastAsia="Times New Roman" w:hAnsi="Garamond" w:cs="Times New Roman"/>
          <w:sz w:val="24"/>
          <w:szCs w:val="24"/>
          <w:lang w:eastAsia="fr-FR"/>
        </w:rPr>
        <w:t>human</w:t>
      </w:r>
      <w:proofErr w:type="spellEnd"/>
      <w:r w:rsidRPr="00404DA8">
        <w:rPr>
          <w:rFonts w:ascii="Garamond" w:eastAsia="Times New Roman" w:hAnsi="Garamond" w:cs="Times New Roman"/>
          <w:sz w:val="24"/>
          <w:szCs w:val="24"/>
          <w:lang w:eastAsia="fr-FR"/>
        </w:rPr>
        <w:t xml:space="preserve"> living </w:t>
      </w:r>
      <w:proofErr w:type="spellStart"/>
      <w:proofErr w:type="gramStart"/>
      <w:r w:rsidRPr="00404DA8">
        <w:rPr>
          <w:rFonts w:ascii="Garamond" w:eastAsia="Times New Roman" w:hAnsi="Garamond" w:cs="Times New Roman"/>
          <w:sz w:val="24"/>
          <w:szCs w:val="24"/>
          <w:lang w:eastAsia="fr-FR"/>
        </w:rPr>
        <w:t>beings</w:t>
      </w:r>
      <w:proofErr w:type="spellEnd"/>
      <w:r w:rsidRPr="00404DA8">
        <w:rPr>
          <w:rFonts w:ascii="Garamond" w:eastAsia="Times New Roman" w:hAnsi="Garamond" w:cs="Times New Roman"/>
          <w:sz w:val="24"/>
          <w:szCs w:val="24"/>
          <w:lang w:eastAsia="fr-FR"/>
        </w:rPr>
        <w:t>;</w:t>
      </w:r>
      <w:proofErr w:type="gramEnd"/>
    </w:p>
    <w:p w14:paraId="7DC95827" w14:textId="77777777" w:rsidR="009354F2" w:rsidRPr="00404DA8" w:rsidRDefault="009354F2" w:rsidP="002C42F3">
      <w:pPr>
        <w:numPr>
          <w:ilvl w:val="0"/>
          <w:numId w:val="1"/>
        </w:numPr>
        <w:spacing w:before="100" w:beforeAutospacing="1" w:after="100" w:afterAutospacing="1" w:line="240" w:lineRule="auto"/>
        <w:jc w:val="both"/>
        <w:rPr>
          <w:rFonts w:ascii="Garamond" w:eastAsia="Times New Roman" w:hAnsi="Garamond" w:cs="Times New Roman"/>
          <w:sz w:val="24"/>
          <w:szCs w:val="24"/>
          <w:lang w:eastAsia="fr-FR"/>
        </w:rPr>
      </w:pPr>
      <w:proofErr w:type="spellStart"/>
      <w:r w:rsidRPr="00404DA8">
        <w:rPr>
          <w:rFonts w:ascii="Garamond" w:eastAsia="Times New Roman" w:hAnsi="Garamond" w:cs="Times New Roman"/>
          <w:sz w:val="24"/>
          <w:szCs w:val="24"/>
          <w:lang w:eastAsia="fr-FR"/>
        </w:rPr>
        <w:t>Ideas</w:t>
      </w:r>
      <w:proofErr w:type="spellEnd"/>
      <w:r w:rsidRPr="00404DA8">
        <w:rPr>
          <w:rFonts w:ascii="Garamond" w:eastAsia="Times New Roman" w:hAnsi="Garamond" w:cs="Times New Roman"/>
          <w:sz w:val="24"/>
          <w:szCs w:val="24"/>
          <w:lang w:eastAsia="fr-FR"/>
        </w:rPr>
        <w:t xml:space="preserve">, </w:t>
      </w:r>
      <w:proofErr w:type="spellStart"/>
      <w:r w:rsidRPr="00404DA8">
        <w:rPr>
          <w:rFonts w:ascii="Garamond" w:eastAsia="Times New Roman" w:hAnsi="Garamond" w:cs="Times New Roman"/>
          <w:sz w:val="24"/>
          <w:szCs w:val="24"/>
          <w:lang w:eastAsia="fr-FR"/>
        </w:rPr>
        <w:t>knowledge</w:t>
      </w:r>
      <w:proofErr w:type="spellEnd"/>
      <w:r w:rsidRPr="00404DA8">
        <w:rPr>
          <w:rFonts w:ascii="Garamond" w:eastAsia="Times New Roman" w:hAnsi="Garamond" w:cs="Times New Roman"/>
          <w:sz w:val="24"/>
          <w:szCs w:val="24"/>
          <w:lang w:eastAsia="fr-FR"/>
        </w:rPr>
        <w:t xml:space="preserve">, and </w:t>
      </w:r>
      <w:proofErr w:type="spellStart"/>
      <w:r w:rsidRPr="00404DA8">
        <w:rPr>
          <w:rFonts w:ascii="Garamond" w:eastAsia="Times New Roman" w:hAnsi="Garamond" w:cs="Times New Roman"/>
          <w:sz w:val="24"/>
          <w:szCs w:val="24"/>
          <w:lang w:eastAsia="fr-FR"/>
        </w:rPr>
        <w:t>beliefs</w:t>
      </w:r>
      <w:proofErr w:type="spellEnd"/>
      <w:r w:rsidRPr="00404DA8">
        <w:rPr>
          <w:rFonts w:ascii="Garamond" w:eastAsia="Times New Roman" w:hAnsi="Garamond" w:cs="Times New Roman"/>
          <w:sz w:val="24"/>
          <w:szCs w:val="24"/>
          <w:lang w:eastAsia="fr-FR"/>
        </w:rPr>
        <w:t>.</w:t>
      </w:r>
    </w:p>
    <w:p w14:paraId="3047DCCF" w14:textId="7777777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This proposal does not disregard the political framework that characterizes the context of these circulations, shaped by colonial history. We aim to include this perspective in a comparative analysis of British and American nuclear test sites in the Pacific.</w:t>
      </w:r>
    </w:p>
    <w:p w14:paraId="4FEEC8CA" w14:textId="7777777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b/>
          <w:bCs/>
          <w:sz w:val="24"/>
          <w:szCs w:val="24"/>
          <w:lang w:val="en-GB" w:eastAsia="fr-FR"/>
        </w:rPr>
        <w:t>Imperialism, Colonialism, and Nuclear Imperialism</w:t>
      </w:r>
    </w:p>
    <w:p w14:paraId="1699D430" w14:textId="3D2EC8E6"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The paradox of the CEP's establishment in the early 1960s lies in its alignment with the end of the French Empire, which necessitated relocating facilities from the Sahara—now part of an independent Algeria. How should this moment in French Polynesia, concurrent with decolonization, be characterized and contextualized alongside British and American nuclear test sites? While the United States operated outside a formal empire, they exploited islands of the British Empire</w:t>
      </w:r>
      <w:r w:rsidR="004421E5">
        <w:rPr>
          <w:rFonts w:ascii="Garamond" w:eastAsia="Times New Roman" w:hAnsi="Garamond" w:cs="Times New Roman"/>
          <w:sz w:val="24"/>
          <w:szCs w:val="24"/>
          <w:lang w:val="en-GB" w:eastAsia="fr-FR"/>
        </w:rPr>
        <w:t xml:space="preserve"> (Kiritimati) as well as </w:t>
      </w:r>
      <w:r w:rsidR="004421E5">
        <w:rPr>
          <w:rFonts w:ascii="Garamond" w:eastAsia="Times New Roman" w:hAnsi="Garamond" w:cs="Times New Roman"/>
          <w:sz w:val="24"/>
          <w:szCs w:val="24"/>
          <w:lang w:val="en-GB" w:eastAsia="fr-FR"/>
        </w:rPr>
        <w:tab/>
      </w:r>
      <w:r w:rsidR="004421E5" w:rsidRPr="004421E5">
        <w:rPr>
          <w:rFonts w:ascii="Garamond" w:eastAsia="Times New Roman" w:hAnsi="Garamond" w:cs="Times New Roman"/>
          <w:sz w:val="24"/>
          <w:szCs w:val="24"/>
          <w:lang w:val="en-GB" w:eastAsia="fr-FR"/>
        </w:rPr>
        <w:t>UN Trust Territor</w:t>
      </w:r>
      <w:r w:rsidR="004421E5">
        <w:rPr>
          <w:rFonts w:ascii="Garamond" w:eastAsia="Times New Roman" w:hAnsi="Garamond" w:cs="Times New Roman"/>
          <w:sz w:val="24"/>
          <w:szCs w:val="24"/>
          <w:lang w:val="en-GB" w:eastAsia="fr-FR"/>
        </w:rPr>
        <w:t>ies (Marshall Islands)</w:t>
      </w:r>
      <w:r w:rsidRPr="00404DA8">
        <w:rPr>
          <w:rFonts w:ascii="Garamond" w:eastAsia="Times New Roman" w:hAnsi="Garamond" w:cs="Times New Roman"/>
          <w:sz w:val="24"/>
          <w:szCs w:val="24"/>
          <w:lang w:val="en-GB" w:eastAsia="fr-FR"/>
        </w:rPr>
        <w:t>. Should we speak of resurgence, renewed imperialism, or other terms like rebound or renewal?</w:t>
      </w:r>
      <w:r w:rsidR="00D2454E" w:rsidRPr="00404DA8">
        <w:rPr>
          <w:rFonts w:ascii="Garamond" w:eastAsia="Times New Roman" w:hAnsi="Garamond" w:cs="Times New Roman"/>
          <w:sz w:val="24"/>
          <w:szCs w:val="24"/>
          <w:lang w:val="en-GB" w:eastAsia="fr-FR"/>
        </w:rPr>
        <w:t xml:space="preserve"> </w:t>
      </w:r>
      <w:r w:rsidRPr="00404DA8">
        <w:rPr>
          <w:rFonts w:ascii="Garamond" w:eastAsia="Times New Roman" w:hAnsi="Garamond" w:cs="Times New Roman"/>
          <w:sz w:val="24"/>
          <w:szCs w:val="24"/>
          <w:lang w:val="en-GB" w:eastAsia="fr-FR"/>
        </w:rPr>
        <w:t>The term "imperial" may not fully capture the nuances of France's actions in Oceania but remains useful when adopting Frederick Cooper's framework. Cooper distinguishes imperial modes (intervening in another government without directly governing), hegemonic modes (setting the rules others must follow), and colonial modes (governing the internal affairs of a subordinate government)</w:t>
      </w:r>
      <w:r w:rsidR="002C42F3">
        <w:rPr>
          <w:rStyle w:val="Appelnotedebasdep"/>
        </w:rPr>
        <w:footnoteReference w:id="1"/>
      </w:r>
      <w:r w:rsidRPr="00404DA8">
        <w:rPr>
          <w:rFonts w:ascii="Garamond" w:eastAsia="Times New Roman" w:hAnsi="Garamond" w:cs="Times New Roman"/>
          <w:sz w:val="24"/>
          <w:szCs w:val="24"/>
          <w:lang w:val="en-GB" w:eastAsia="fr-FR"/>
        </w:rPr>
        <w:t>.</w:t>
      </w:r>
      <w:r w:rsidR="002E0BC5" w:rsidRPr="00404DA8">
        <w:rPr>
          <w:rFonts w:ascii="Garamond" w:eastAsia="Times New Roman" w:hAnsi="Garamond" w:cs="Times New Roman"/>
          <w:sz w:val="24"/>
          <w:szCs w:val="24"/>
          <w:lang w:val="en-GB" w:eastAsia="fr-FR"/>
        </w:rPr>
        <w:t xml:space="preserve"> </w:t>
      </w:r>
      <w:r w:rsidRPr="00404DA8">
        <w:rPr>
          <w:rFonts w:ascii="Garamond" w:eastAsia="Times New Roman" w:hAnsi="Garamond" w:cs="Times New Roman"/>
          <w:sz w:val="24"/>
          <w:szCs w:val="24"/>
          <w:lang w:val="en-GB" w:eastAsia="fr-FR"/>
        </w:rPr>
        <w:t>This concept of renewed imperialism highlights how, amid decolonization, the French state engaged for the first time with Polynesian spaces neglected by colonial science and administration, particularly in the Tuamotu</w:t>
      </w:r>
      <w:r w:rsidR="00B24007">
        <w:rPr>
          <w:rFonts w:ascii="Garamond" w:eastAsia="Times New Roman" w:hAnsi="Garamond" w:cs="Times New Roman"/>
          <w:sz w:val="24"/>
          <w:szCs w:val="24"/>
          <w:lang w:val="en-GB" w:eastAsia="fr-FR"/>
        </w:rPr>
        <w:t xml:space="preserve"> islands</w:t>
      </w:r>
      <w:r w:rsidRPr="00404DA8">
        <w:rPr>
          <w:rFonts w:ascii="Garamond" w:eastAsia="Times New Roman" w:hAnsi="Garamond" w:cs="Times New Roman"/>
          <w:sz w:val="24"/>
          <w:szCs w:val="24"/>
          <w:lang w:val="en-GB" w:eastAsia="fr-FR"/>
        </w:rPr>
        <w:t>. It calls for examining the question of nuclear colonialism.</w:t>
      </w:r>
    </w:p>
    <w:p w14:paraId="266DF102" w14:textId="57AA2845"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 xml:space="preserve">When the military chose French Polynesia for the CEP in 1962-63, the territory had been institutionally decolonized since 1946 with the equalization of rights (abolishing the distinction between subjects and citizens). Polynesia opted to remain part of France in 1958, albeit with less enthusiasm than elsewhere, against a backdrop of covert political manipulations by </w:t>
      </w:r>
      <w:proofErr w:type="spellStart"/>
      <w:r w:rsidRPr="00404DA8">
        <w:rPr>
          <w:rFonts w:ascii="Garamond" w:eastAsia="Times New Roman" w:hAnsi="Garamond" w:cs="Times New Roman"/>
          <w:sz w:val="24"/>
          <w:szCs w:val="24"/>
          <w:lang w:val="en-GB" w:eastAsia="fr-FR"/>
        </w:rPr>
        <w:t>Foccart</w:t>
      </w:r>
      <w:proofErr w:type="spellEnd"/>
      <w:r w:rsidRPr="00404DA8">
        <w:rPr>
          <w:rFonts w:ascii="Garamond" w:eastAsia="Times New Roman" w:hAnsi="Garamond" w:cs="Times New Roman"/>
          <w:sz w:val="24"/>
          <w:szCs w:val="24"/>
          <w:lang w:val="en-GB" w:eastAsia="fr-FR"/>
        </w:rPr>
        <w:t xml:space="preserve"> and Gaullist networks. Beyond nuclear imperialism, emphasizing the imperial dimension of nuclear test </w:t>
      </w:r>
      <w:r w:rsidRPr="00404DA8">
        <w:rPr>
          <w:rFonts w:ascii="Garamond" w:eastAsia="Times New Roman" w:hAnsi="Garamond" w:cs="Times New Roman"/>
          <w:sz w:val="24"/>
          <w:szCs w:val="24"/>
          <w:lang w:val="en-GB" w:eastAsia="fr-FR"/>
        </w:rPr>
        <w:lastRenderedPageBreak/>
        <w:t>sites and the nuclear aspect of Cold War-era empire struggles, what remains of colonial legacies during the CEP era?</w:t>
      </w:r>
      <w:r w:rsidR="002E0BC5" w:rsidRPr="00404DA8">
        <w:rPr>
          <w:rFonts w:ascii="Garamond" w:eastAsia="Times New Roman" w:hAnsi="Garamond" w:cs="Times New Roman"/>
          <w:sz w:val="24"/>
          <w:szCs w:val="24"/>
          <w:lang w:val="en-GB" w:eastAsia="fr-FR"/>
        </w:rPr>
        <w:t xml:space="preserve"> </w:t>
      </w:r>
      <w:r w:rsidR="00E64178">
        <w:rPr>
          <w:rFonts w:ascii="Garamond" w:eastAsia="Times New Roman" w:hAnsi="Garamond" w:cs="Times New Roman"/>
          <w:sz w:val="24"/>
          <w:szCs w:val="24"/>
          <w:lang w:val="en-GB" w:eastAsia="fr-FR"/>
        </w:rPr>
        <w:t>An</w:t>
      </w:r>
      <w:r w:rsidRPr="00404DA8">
        <w:rPr>
          <w:rFonts w:ascii="Garamond" w:eastAsia="Times New Roman" w:hAnsi="Garamond" w:cs="Times New Roman"/>
          <w:sz w:val="24"/>
          <w:szCs w:val="24"/>
          <w:lang w:val="en-GB" w:eastAsia="fr-FR"/>
        </w:rPr>
        <w:t xml:space="preserve"> independent French nuclear force was presented as a way to escape imperial logic, offering security to citizens in Polynesia and mainland France amid the Cold War. Yet,</w:t>
      </w:r>
      <w:r w:rsidR="002E0BC5" w:rsidRPr="00404DA8">
        <w:rPr>
          <w:rFonts w:ascii="Garamond" w:eastAsia="Times New Roman" w:hAnsi="Garamond" w:cs="Times New Roman"/>
          <w:sz w:val="24"/>
          <w:szCs w:val="24"/>
          <w:lang w:val="en-GB" w:eastAsia="fr-FR"/>
        </w:rPr>
        <w:t xml:space="preserve"> such a view, combined with</w:t>
      </w:r>
      <w:r w:rsidRPr="00404DA8">
        <w:rPr>
          <w:rFonts w:ascii="Garamond" w:eastAsia="Times New Roman" w:hAnsi="Garamond" w:cs="Times New Roman"/>
          <w:sz w:val="24"/>
          <w:szCs w:val="24"/>
          <w:lang w:val="en-GB" w:eastAsia="fr-FR"/>
        </w:rPr>
        <w:t xml:space="preserve"> the coexistence of this nuclear imperialism with decolonization created confusion, complicating the categorization of processes at play with the CEP.</w:t>
      </w:r>
    </w:p>
    <w:p w14:paraId="62C39CB6" w14:textId="5FBFD3FF" w:rsidR="00CB0818" w:rsidRPr="00404DA8" w:rsidRDefault="00DF1165"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 xml:space="preserve">Why </w:t>
      </w:r>
      <w:r w:rsidR="00BB221C" w:rsidRPr="00404DA8">
        <w:rPr>
          <w:rFonts w:ascii="Garamond" w:eastAsia="Times New Roman" w:hAnsi="Garamond" w:cs="Times New Roman"/>
          <w:sz w:val="24"/>
          <w:szCs w:val="24"/>
          <w:lang w:val="en-GB" w:eastAsia="fr-FR"/>
        </w:rPr>
        <w:t>continue to use the notion of colonialism despite the formal decolonization</w:t>
      </w:r>
      <w:r w:rsidRPr="00404DA8">
        <w:rPr>
          <w:rFonts w:ascii="Garamond" w:eastAsia="Times New Roman" w:hAnsi="Garamond" w:cs="Times New Roman"/>
          <w:sz w:val="24"/>
          <w:szCs w:val="24"/>
          <w:lang w:val="en-GB" w:eastAsia="fr-FR"/>
        </w:rPr>
        <w:t xml:space="preserve"> of French Polynesia? </w:t>
      </w:r>
      <w:r w:rsidR="00CB0818" w:rsidRPr="00404DA8">
        <w:rPr>
          <w:rFonts w:ascii="Garamond" w:eastAsia="Times New Roman" w:hAnsi="Garamond" w:cs="Times New Roman"/>
          <w:sz w:val="24"/>
          <w:szCs w:val="24"/>
          <w:lang w:val="en-GB" w:eastAsia="fr-FR"/>
        </w:rPr>
        <w:t>First, because both terms—imperialism and colonialism—were central to the discourse of those protesting against nuclear test sites. Early African independence movements contested the continuation of French nuclear tests in Algeria, a country transitioning to independence and later fully sovereign</w:t>
      </w:r>
      <w:r w:rsidR="00BB221C" w:rsidRPr="00404DA8">
        <w:rPr>
          <w:rFonts w:ascii="Garamond" w:eastAsia="Times New Roman" w:hAnsi="Garamond" w:cs="Times New Roman"/>
          <w:sz w:val="24"/>
          <w:szCs w:val="24"/>
          <w:lang w:val="en-GB" w:eastAsia="fr-FR"/>
        </w:rPr>
        <w:t xml:space="preserve"> but wh</w:t>
      </w:r>
      <w:r w:rsidR="00B24007">
        <w:rPr>
          <w:rFonts w:ascii="Garamond" w:eastAsia="Times New Roman" w:hAnsi="Garamond" w:cs="Times New Roman"/>
          <w:sz w:val="24"/>
          <w:szCs w:val="24"/>
          <w:lang w:val="en-GB" w:eastAsia="fr-FR"/>
        </w:rPr>
        <w:t>i</w:t>
      </w:r>
      <w:r w:rsidR="00BB221C" w:rsidRPr="00404DA8">
        <w:rPr>
          <w:rFonts w:ascii="Garamond" w:eastAsia="Times New Roman" w:hAnsi="Garamond" w:cs="Times New Roman"/>
          <w:sz w:val="24"/>
          <w:szCs w:val="24"/>
          <w:lang w:val="en-GB" w:eastAsia="fr-FR"/>
        </w:rPr>
        <w:t>ch still</w:t>
      </w:r>
      <w:r w:rsidR="00CB0818" w:rsidRPr="00404DA8">
        <w:rPr>
          <w:rFonts w:ascii="Garamond" w:eastAsia="Times New Roman" w:hAnsi="Garamond" w:cs="Times New Roman"/>
          <w:sz w:val="24"/>
          <w:szCs w:val="24"/>
          <w:lang w:val="en-GB" w:eastAsia="fr-FR"/>
        </w:rPr>
        <w:t xml:space="preserve"> granted a five-year lease to French military and engineers. Hill highlighted the dual usage of these terms during the birth of the CEP. Ghana’s first independent leader, Kwame Nkrumah, referred to a “new nuclear imperialism” when discussing French nuclear tests in the Sahara. He later interpreted this “new nuclear imperialism” as a manifestation of “neocolonialism,” defined as an alliance of British, French, and American bankers dominating the financial and economic sectors of </w:t>
      </w:r>
      <w:r w:rsidR="00BB221C" w:rsidRPr="00404DA8">
        <w:rPr>
          <w:rFonts w:ascii="Garamond" w:eastAsia="Times New Roman" w:hAnsi="Garamond" w:cs="Times New Roman"/>
          <w:sz w:val="24"/>
          <w:szCs w:val="24"/>
          <w:lang w:val="en-GB" w:eastAsia="fr-FR"/>
        </w:rPr>
        <w:t xml:space="preserve">[…] </w:t>
      </w:r>
      <w:r w:rsidR="00CB0818" w:rsidRPr="00404DA8">
        <w:rPr>
          <w:rFonts w:ascii="Garamond" w:eastAsia="Times New Roman" w:hAnsi="Garamond" w:cs="Times New Roman"/>
          <w:sz w:val="24"/>
          <w:szCs w:val="24"/>
          <w:lang w:val="en-GB" w:eastAsia="fr-FR"/>
        </w:rPr>
        <w:t xml:space="preserve">newly independent </w:t>
      </w:r>
      <w:r w:rsidR="00BB221C" w:rsidRPr="00404DA8">
        <w:rPr>
          <w:rFonts w:ascii="Garamond" w:eastAsia="Times New Roman" w:hAnsi="Garamond" w:cs="Times New Roman"/>
          <w:sz w:val="24"/>
          <w:szCs w:val="24"/>
          <w:lang w:val="en-GB" w:eastAsia="fr-FR"/>
        </w:rPr>
        <w:t>S</w:t>
      </w:r>
      <w:r w:rsidR="00CB0818" w:rsidRPr="00404DA8">
        <w:rPr>
          <w:rFonts w:ascii="Garamond" w:eastAsia="Times New Roman" w:hAnsi="Garamond" w:cs="Times New Roman"/>
          <w:sz w:val="24"/>
          <w:szCs w:val="24"/>
          <w:lang w:val="en-GB" w:eastAsia="fr-FR"/>
        </w:rPr>
        <w:t>tates</w:t>
      </w:r>
      <w:r w:rsidR="00A203A8">
        <w:rPr>
          <w:rStyle w:val="Appelnotedebasdep"/>
        </w:rPr>
        <w:footnoteReference w:id="2"/>
      </w:r>
      <w:r w:rsidR="00CE4FF7" w:rsidRPr="00404DA8">
        <w:rPr>
          <w:rFonts w:ascii="Garamond" w:eastAsia="Times New Roman" w:hAnsi="Garamond" w:cs="Times New Roman"/>
          <w:sz w:val="24"/>
          <w:szCs w:val="24"/>
          <w:lang w:val="en-GB" w:eastAsia="fr-FR"/>
        </w:rPr>
        <w:t>”</w:t>
      </w:r>
      <w:r w:rsidR="00CB0818" w:rsidRPr="00404DA8">
        <w:rPr>
          <w:rFonts w:ascii="Garamond" w:eastAsia="Times New Roman" w:hAnsi="Garamond" w:cs="Times New Roman"/>
          <w:sz w:val="24"/>
          <w:szCs w:val="24"/>
          <w:lang w:val="en-GB" w:eastAsia="fr-FR"/>
        </w:rPr>
        <w:t>.</w:t>
      </w:r>
    </w:p>
    <w:p w14:paraId="055FDACC" w14:textId="77777777" w:rsidR="00CB0818" w:rsidRPr="00404DA8" w:rsidRDefault="00CB0818"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The utilization of island environments and oceans as scientific laboratories reflected a</w:t>
      </w:r>
      <w:r w:rsidR="00BB221C" w:rsidRPr="00404DA8">
        <w:rPr>
          <w:rFonts w:ascii="Garamond" w:eastAsia="Times New Roman" w:hAnsi="Garamond" w:cs="Times New Roman"/>
          <w:sz w:val="24"/>
          <w:szCs w:val="24"/>
          <w:lang w:val="en-GB" w:eastAsia="fr-FR"/>
        </w:rPr>
        <w:t xml:space="preserve"> resurgence of a </w:t>
      </w:r>
      <w:r w:rsidRPr="00404DA8">
        <w:rPr>
          <w:rFonts w:ascii="Garamond" w:eastAsia="Times New Roman" w:hAnsi="Garamond" w:cs="Times New Roman"/>
          <w:sz w:val="24"/>
          <w:szCs w:val="24"/>
          <w:lang w:val="en-GB" w:eastAsia="fr-FR"/>
        </w:rPr>
        <w:t xml:space="preserve">colonial mindset of appropriation </w:t>
      </w:r>
      <w:r w:rsidR="00BB221C" w:rsidRPr="00404DA8">
        <w:rPr>
          <w:rFonts w:ascii="Garamond" w:eastAsia="Times New Roman" w:hAnsi="Garamond" w:cs="Times New Roman"/>
          <w:sz w:val="24"/>
          <w:szCs w:val="24"/>
          <w:lang w:val="en-GB" w:eastAsia="fr-FR"/>
        </w:rPr>
        <w:t>but also</w:t>
      </w:r>
      <w:r w:rsidRPr="00404DA8">
        <w:rPr>
          <w:rFonts w:ascii="Garamond" w:eastAsia="Times New Roman" w:hAnsi="Garamond" w:cs="Times New Roman"/>
          <w:sz w:val="24"/>
          <w:szCs w:val="24"/>
          <w:lang w:val="en-GB" w:eastAsia="fr-FR"/>
        </w:rPr>
        <w:t xml:space="preserve"> a drive for modernization. The civil administration’s mobilization to develop agriculture, tourism, vocational training, and more alongside the CEP echoed the "modernization moment" of the early 20</w:t>
      </w:r>
      <w:r w:rsidRPr="00404DA8">
        <w:rPr>
          <w:rFonts w:ascii="Garamond" w:eastAsia="Times New Roman" w:hAnsi="Garamond" w:cs="Times New Roman"/>
          <w:sz w:val="24"/>
          <w:szCs w:val="24"/>
          <w:vertAlign w:val="superscript"/>
          <w:lang w:val="en-GB" w:eastAsia="fr-FR"/>
        </w:rPr>
        <w:t>th</w:t>
      </w:r>
      <w:r w:rsidRPr="00404DA8">
        <w:rPr>
          <w:rFonts w:ascii="Garamond" w:eastAsia="Times New Roman" w:hAnsi="Garamond" w:cs="Times New Roman"/>
          <w:sz w:val="24"/>
          <w:szCs w:val="24"/>
          <w:lang w:val="en-GB" w:eastAsia="fr-FR"/>
        </w:rPr>
        <w:t xml:space="preserve"> century—a phase that European metropolises could no longer sustain after World War II. Should the CEP be seen as a revival of this modernization moment, which had been exhausted within the Empire during the 1950s but remained viable on the scale of the "confetti of Empire"? In this sense, the CEP embodied in the Pacific the utopian vision of "technical colonization," a concept formulated between the wars for Africa and Asia.</w:t>
      </w:r>
    </w:p>
    <w:p w14:paraId="49596E12" w14:textId="64817CAF" w:rsidR="00CB0818" w:rsidRPr="00404DA8" w:rsidRDefault="00CB0818"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 xml:space="preserve">Colonial attitudes were still evident among actors involved. Military personnel, like </w:t>
      </w:r>
      <w:proofErr w:type="spellStart"/>
      <w:r w:rsidRPr="00404DA8">
        <w:rPr>
          <w:rFonts w:ascii="Garamond" w:eastAsia="Times New Roman" w:hAnsi="Garamond" w:cs="Times New Roman"/>
          <w:sz w:val="24"/>
          <w:szCs w:val="24"/>
          <w:lang w:val="en-GB" w:eastAsia="fr-FR"/>
        </w:rPr>
        <w:t>Camussot</w:t>
      </w:r>
      <w:proofErr w:type="spellEnd"/>
      <w:r w:rsidRPr="00404DA8">
        <w:rPr>
          <w:rFonts w:ascii="Garamond" w:eastAsia="Times New Roman" w:hAnsi="Garamond" w:cs="Times New Roman"/>
          <w:sz w:val="24"/>
          <w:szCs w:val="24"/>
          <w:lang w:val="en-GB" w:eastAsia="fr-FR"/>
        </w:rPr>
        <w:t xml:space="preserve">, </w:t>
      </w:r>
      <w:r w:rsidR="005D4F8B">
        <w:rPr>
          <w:rFonts w:ascii="Garamond" w:eastAsia="Times New Roman" w:hAnsi="Garamond" w:cs="Times New Roman"/>
          <w:sz w:val="24"/>
          <w:szCs w:val="24"/>
          <w:lang w:val="en-GB" w:eastAsia="fr-FR"/>
        </w:rPr>
        <w:t xml:space="preserve">a naval officer </w:t>
      </w:r>
      <w:r w:rsidRPr="00404DA8">
        <w:rPr>
          <w:rFonts w:ascii="Garamond" w:eastAsia="Times New Roman" w:hAnsi="Garamond" w:cs="Times New Roman"/>
          <w:sz w:val="24"/>
          <w:szCs w:val="24"/>
          <w:lang w:val="en-GB" w:eastAsia="fr-FR"/>
        </w:rPr>
        <w:t>who led the initial phases of the CEP’s construction</w:t>
      </w:r>
      <w:r w:rsidR="005D4F8B">
        <w:rPr>
          <w:rFonts w:ascii="Garamond" w:eastAsia="Times New Roman" w:hAnsi="Garamond" w:cs="Times New Roman"/>
          <w:sz w:val="24"/>
          <w:szCs w:val="24"/>
          <w:lang w:val="en-GB" w:eastAsia="fr-FR"/>
        </w:rPr>
        <w:t xml:space="preserve">, </w:t>
      </w:r>
      <w:r w:rsidRPr="00404DA8">
        <w:rPr>
          <w:rFonts w:ascii="Garamond" w:eastAsia="Times New Roman" w:hAnsi="Garamond" w:cs="Times New Roman"/>
          <w:sz w:val="24"/>
          <w:szCs w:val="24"/>
          <w:lang w:val="en-GB" w:eastAsia="fr-FR"/>
        </w:rPr>
        <w:t>spoke of "the exaltation born from the feeling of participating in the creation of a great enterprise"</w:t>
      </w:r>
      <w:r w:rsidR="00A203A8">
        <w:rPr>
          <w:color w:val="000000"/>
          <w:vertAlign w:val="superscript"/>
        </w:rPr>
        <w:footnoteReference w:id="3"/>
      </w:r>
      <w:r w:rsidR="00A203A8" w:rsidRPr="00A203A8">
        <w:rPr>
          <w:rFonts w:ascii="Garamond" w:eastAsia="Times New Roman" w:hAnsi="Garamond" w:cs="Times New Roman"/>
          <w:sz w:val="24"/>
          <w:szCs w:val="24"/>
          <w:lang w:val="en-GB" w:eastAsia="fr-FR"/>
        </w:rPr>
        <w:t>"</w:t>
      </w:r>
      <w:r w:rsidR="002C42F3">
        <w:rPr>
          <w:rFonts w:ascii="Garamond" w:eastAsia="Times New Roman" w:hAnsi="Garamond" w:cs="Times New Roman"/>
          <w:sz w:val="24"/>
          <w:szCs w:val="24"/>
          <w:lang w:val="en-GB" w:eastAsia="fr-FR"/>
        </w:rPr>
        <w:t>.</w:t>
      </w:r>
      <w:r w:rsidRPr="00404DA8">
        <w:rPr>
          <w:rFonts w:ascii="Garamond" w:eastAsia="Times New Roman" w:hAnsi="Garamond" w:cs="Times New Roman"/>
          <w:sz w:val="24"/>
          <w:szCs w:val="24"/>
          <w:lang w:val="en-GB" w:eastAsia="fr-FR"/>
        </w:rPr>
        <w:t xml:space="preserve"> Civilians, like Governor Grimald, expressed similar sentiments: "On this millennia-old coral now devoted to atomic science, I rediscovered the zeal and faith of those planters I once knew in the marshy plains of the Cochinchina delta, arriving at the dawn of colonization. Planters of the past, engineers, and technicians of today—such is the race of founders of the future!" Even lower-ranking soldiers were not immune to this perspective. Fiction captures this awareness</w:t>
      </w:r>
      <w:r w:rsidR="00CE4FF7" w:rsidRPr="00404DA8">
        <w:rPr>
          <w:rFonts w:ascii="Garamond" w:eastAsia="Times New Roman" w:hAnsi="Garamond" w:cs="Times New Roman"/>
          <w:sz w:val="24"/>
          <w:szCs w:val="24"/>
          <w:lang w:val="en-GB" w:eastAsia="fr-FR"/>
        </w:rPr>
        <w:t>, shown for instance</w:t>
      </w:r>
      <w:r w:rsidRPr="00404DA8">
        <w:rPr>
          <w:rFonts w:ascii="Garamond" w:eastAsia="Times New Roman" w:hAnsi="Garamond" w:cs="Times New Roman"/>
          <w:sz w:val="24"/>
          <w:szCs w:val="24"/>
          <w:lang w:val="en-GB" w:eastAsia="fr-FR"/>
        </w:rPr>
        <w:t xml:space="preserve"> through the words of a CEP worker’s son, reflecting on his arrival in Tahiti in 1968: </w:t>
      </w:r>
      <w:r w:rsidR="00CE4FF7" w:rsidRPr="00404DA8">
        <w:rPr>
          <w:rFonts w:ascii="Garamond" w:eastAsia="Times New Roman" w:hAnsi="Garamond" w:cs="Times New Roman"/>
          <w:sz w:val="24"/>
          <w:szCs w:val="24"/>
          <w:lang w:val="en-GB" w:eastAsia="fr-FR"/>
        </w:rPr>
        <w:t>“</w:t>
      </w:r>
      <w:r w:rsidRPr="00404DA8">
        <w:rPr>
          <w:rFonts w:ascii="Garamond" w:eastAsia="Times New Roman" w:hAnsi="Garamond" w:cs="Times New Roman"/>
          <w:sz w:val="24"/>
          <w:szCs w:val="24"/>
          <w:lang w:val="en-GB" w:eastAsia="fr-FR"/>
        </w:rPr>
        <w:t>The nuclear authorities wanted to give newcomers the feeling of being modern</w:t>
      </w:r>
      <w:r w:rsidR="00A203A8">
        <w:rPr>
          <w:rFonts w:ascii="Garamond" w:eastAsia="Times New Roman" w:hAnsi="Garamond" w:cs="Times New Roman"/>
          <w:sz w:val="24"/>
          <w:szCs w:val="24"/>
          <w:lang w:val="en-GB" w:eastAsia="fr-FR"/>
        </w:rPr>
        <w:t xml:space="preserve"> pioneers, conquerors</w:t>
      </w:r>
      <w:r w:rsidR="00A203A8">
        <w:rPr>
          <w:rStyle w:val="Appelnotedebasdep"/>
          <w:color w:val="000000"/>
        </w:rPr>
        <w:footnoteReference w:id="4"/>
      </w:r>
      <w:r w:rsidR="00CE4FF7" w:rsidRPr="00404DA8">
        <w:rPr>
          <w:rFonts w:ascii="Garamond" w:eastAsia="Times New Roman" w:hAnsi="Garamond" w:cs="Times New Roman"/>
          <w:sz w:val="24"/>
          <w:szCs w:val="24"/>
          <w:lang w:val="en-GB" w:eastAsia="fr-FR"/>
        </w:rPr>
        <w:t>”</w:t>
      </w:r>
      <w:r w:rsidR="00A203A8">
        <w:rPr>
          <w:rFonts w:ascii="Garamond" w:eastAsia="Times New Roman" w:hAnsi="Garamond" w:cs="Times New Roman"/>
          <w:sz w:val="24"/>
          <w:szCs w:val="24"/>
          <w:lang w:val="en-GB" w:eastAsia="fr-FR"/>
        </w:rPr>
        <w:t xml:space="preserve">. </w:t>
      </w:r>
      <w:r w:rsidRPr="00404DA8">
        <w:rPr>
          <w:rFonts w:ascii="Garamond" w:eastAsia="Times New Roman" w:hAnsi="Garamond" w:cs="Times New Roman"/>
          <w:sz w:val="24"/>
          <w:szCs w:val="24"/>
          <w:lang w:val="en-GB" w:eastAsia="fr-FR"/>
        </w:rPr>
        <w:t xml:space="preserve">Michel </w:t>
      </w:r>
      <w:proofErr w:type="spellStart"/>
      <w:r w:rsidRPr="00404DA8">
        <w:rPr>
          <w:rFonts w:ascii="Garamond" w:eastAsia="Times New Roman" w:hAnsi="Garamond" w:cs="Times New Roman"/>
          <w:sz w:val="24"/>
          <w:szCs w:val="24"/>
          <w:lang w:val="en-GB" w:eastAsia="fr-FR"/>
        </w:rPr>
        <w:t>Debré</w:t>
      </w:r>
      <w:proofErr w:type="spellEnd"/>
      <w:r w:rsidRPr="00404DA8">
        <w:rPr>
          <w:rFonts w:ascii="Garamond" w:eastAsia="Times New Roman" w:hAnsi="Garamond" w:cs="Times New Roman"/>
          <w:sz w:val="24"/>
          <w:szCs w:val="24"/>
          <w:lang w:val="en-GB" w:eastAsia="fr-FR"/>
        </w:rPr>
        <w:t xml:space="preserve">, the Prime Minister </w:t>
      </w:r>
      <w:r w:rsidR="00CE4FF7" w:rsidRPr="00404DA8">
        <w:rPr>
          <w:rFonts w:ascii="Garamond" w:eastAsia="Times New Roman" w:hAnsi="Garamond" w:cs="Times New Roman"/>
          <w:sz w:val="24"/>
          <w:szCs w:val="24"/>
          <w:lang w:val="en-GB" w:eastAsia="fr-FR"/>
        </w:rPr>
        <w:t>when CEP was designed</w:t>
      </w:r>
      <w:r w:rsidRPr="00404DA8">
        <w:rPr>
          <w:rFonts w:ascii="Garamond" w:eastAsia="Times New Roman" w:hAnsi="Garamond" w:cs="Times New Roman"/>
          <w:sz w:val="24"/>
          <w:szCs w:val="24"/>
          <w:lang w:val="en-GB" w:eastAsia="fr-FR"/>
        </w:rPr>
        <w:t xml:space="preserve">, discussed his vision of overseas territories in his memoirs, although he did not dwell on Polynesia in particular. He evoked Guyana, marked by another quintessential example of scientific and technical imperialism: the Kourou space </w:t>
      </w:r>
      <w:proofErr w:type="spellStart"/>
      <w:r w:rsidRPr="00404DA8">
        <w:rPr>
          <w:rFonts w:ascii="Garamond" w:eastAsia="Times New Roman" w:hAnsi="Garamond" w:cs="Times New Roman"/>
          <w:sz w:val="24"/>
          <w:szCs w:val="24"/>
          <w:lang w:val="en-GB" w:eastAsia="fr-FR"/>
        </w:rPr>
        <w:t>center</w:t>
      </w:r>
      <w:proofErr w:type="spellEnd"/>
      <w:r w:rsidRPr="00404DA8">
        <w:rPr>
          <w:rFonts w:ascii="Garamond" w:eastAsia="Times New Roman" w:hAnsi="Garamond" w:cs="Times New Roman"/>
          <w:sz w:val="24"/>
          <w:szCs w:val="24"/>
          <w:lang w:val="en-GB" w:eastAsia="fr-FR"/>
        </w:rPr>
        <w:t xml:space="preserve">. </w:t>
      </w:r>
      <w:proofErr w:type="spellStart"/>
      <w:r w:rsidRPr="00404DA8">
        <w:rPr>
          <w:rFonts w:ascii="Garamond" w:eastAsia="Times New Roman" w:hAnsi="Garamond" w:cs="Times New Roman"/>
          <w:sz w:val="24"/>
          <w:szCs w:val="24"/>
          <w:lang w:val="en-GB" w:eastAsia="fr-FR"/>
        </w:rPr>
        <w:t>Debré’s</w:t>
      </w:r>
      <w:proofErr w:type="spellEnd"/>
      <w:r w:rsidRPr="00404DA8">
        <w:rPr>
          <w:rFonts w:ascii="Garamond" w:eastAsia="Times New Roman" w:hAnsi="Garamond" w:cs="Times New Roman"/>
          <w:sz w:val="24"/>
          <w:szCs w:val="24"/>
          <w:lang w:val="en-GB" w:eastAsia="fr-FR"/>
        </w:rPr>
        <w:t xml:space="preserve"> words explicitly conjure colonial imagery and practices when describing the SMA (Military </w:t>
      </w:r>
      <w:r w:rsidRPr="00404DA8">
        <w:rPr>
          <w:rFonts w:ascii="Garamond" w:eastAsia="Times New Roman" w:hAnsi="Garamond" w:cs="Times New Roman"/>
          <w:sz w:val="24"/>
          <w:szCs w:val="24"/>
          <w:lang w:val="en-GB" w:eastAsia="fr-FR"/>
        </w:rPr>
        <w:lastRenderedPageBreak/>
        <w:t xml:space="preserve">Adaptation Service) and its </w:t>
      </w:r>
      <w:r w:rsidR="00CE4FF7" w:rsidRPr="00404DA8">
        <w:rPr>
          <w:rFonts w:ascii="Garamond" w:eastAsia="Times New Roman" w:hAnsi="Garamond" w:cs="Times New Roman"/>
          <w:sz w:val="24"/>
          <w:szCs w:val="24"/>
          <w:lang w:val="en-GB" w:eastAsia="fr-FR"/>
        </w:rPr>
        <w:t>“</w:t>
      </w:r>
      <w:r w:rsidRPr="00404DA8">
        <w:rPr>
          <w:rFonts w:ascii="Garamond" w:eastAsia="Times New Roman" w:hAnsi="Garamond" w:cs="Times New Roman"/>
          <w:sz w:val="24"/>
          <w:szCs w:val="24"/>
          <w:lang w:val="en-GB" w:eastAsia="fr-FR"/>
        </w:rPr>
        <w:t>core idea</w:t>
      </w:r>
      <w:r w:rsidR="00CE4FF7" w:rsidRPr="00404DA8">
        <w:rPr>
          <w:rFonts w:ascii="Garamond" w:eastAsia="Times New Roman" w:hAnsi="Garamond" w:cs="Times New Roman"/>
          <w:sz w:val="24"/>
          <w:szCs w:val="24"/>
          <w:lang w:val="en-GB" w:eastAsia="fr-FR"/>
        </w:rPr>
        <w:t>”</w:t>
      </w:r>
      <w:r w:rsidRPr="00404DA8">
        <w:rPr>
          <w:rFonts w:ascii="Garamond" w:eastAsia="Times New Roman" w:hAnsi="Garamond" w:cs="Times New Roman"/>
          <w:sz w:val="24"/>
          <w:szCs w:val="24"/>
          <w:lang w:val="en-GB" w:eastAsia="fr-FR"/>
        </w:rPr>
        <w:t xml:space="preserve">: </w:t>
      </w:r>
      <w:r w:rsidR="00CE4FF7" w:rsidRPr="00404DA8">
        <w:rPr>
          <w:rFonts w:ascii="Garamond" w:eastAsia="Times New Roman" w:hAnsi="Garamond" w:cs="Times New Roman"/>
          <w:sz w:val="24"/>
          <w:szCs w:val="24"/>
          <w:lang w:val="en-GB" w:eastAsia="fr-FR"/>
        </w:rPr>
        <w:t>“</w:t>
      </w:r>
      <w:r w:rsidRPr="00404DA8">
        <w:rPr>
          <w:rFonts w:ascii="Garamond" w:eastAsia="Times New Roman" w:hAnsi="Garamond" w:cs="Times New Roman"/>
          <w:sz w:val="24"/>
          <w:szCs w:val="24"/>
          <w:lang w:val="en-GB" w:eastAsia="fr-FR"/>
        </w:rPr>
        <w:t>Clearing and equipping Guyana to populate it with new settlers to develop its economy."</w:t>
      </w:r>
      <w:r w:rsidR="00CE4FF7" w:rsidRPr="00404DA8">
        <w:rPr>
          <w:rFonts w:ascii="Garamond" w:eastAsia="Times New Roman" w:hAnsi="Garamond" w:cs="Times New Roman"/>
          <w:sz w:val="24"/>
          <w:szCs w:val="24"/>
          <w:lang w:val="en-GB" w:eastAsia="fr-FR"/>
        </w:rPr>
        <w:t>”</w:t>
      </w:r>
    </w:p>
    <w:p w14:paraId="06E07798" w14:textId="24435A21" w:rsidR="00CB0818" w:rsidRPr="00404DA8" w:rsidRDefault="00CB0818"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 xml:space="preserve">This question intersects with that of entering modernity—a transition </w:t>
      </w:r>
      <w:r w:rsidR="000A169B">
        <w:rPr>
          <w:rFonts w:ascii="Garamond" w:eastAsia="Times New Roman" w:hAnsi="Garamond" w:cs="Times New Roman"/>
          <w:sz w:val="24"/>
          <w:szCs w:val="24"/>
          <w:lang w:val="en-GB" w:eastAsia="fr-FR"/>
        </w:rPr>
        <w:t>in</w:t>
      </w:r>
      <w:r w:rsidR="000A169B" w:rsidRPr="00404DA8">
        <w:rPr>
          <w:rFonts w:ascii="Garamond" w:eastAsia="Times New Roman" w:hAnsi="Garamond" w:cs="Times New Roman"/>
          <w:sz w:val="24"/>
          <w:szCs w:val="24"/>
          <w:lang w:val="en-GB" w:eastAsia="fr-FR"/>
        </w:rPr>
        <w:t xml:space="preserve"> </w:t>
      </w:r>
      <w:r w:rsidRPr="00404DA8">
        <w:rPr>
          <w:rFonts w:ascii="Garamond" w:eastAsia="Times New Roman" w:hAnsi="Garamond" w:cs="Times New Roman"/>
          <w:sz w:val="24"/>
          <w:szCs w:val="24"/>
          <w:lang w:val="en-GB" w:eastAsia="fr-FR"/>
        </w:rPr>
        <w:t>which the CEP became an opportunity for a Polynesia largely overlooked during the colonial modernizing projects of the early 20</w:t>
      </w:r>
      <w:r w:rsidRPr="00404DA8">
        <w:rPr>
          <w:rFonts w:ascii="Garamond" w:eastAsia="Times New Roman" w:hAnsi="Garamond" w:cs="Times New Roman"/>
          <w:sz w:val="24"/>
          <w:szCs w:val="24"/>
          <w:vertAlign w:val="superscript"/>
          <w:lang w:val="en-GB" w:eastAsia="fr-FR"/>
        </w:rPr>
        <w:t>th</w:t>
      </w:r>
      <w:r w:rsidRPr="00404DA8">
        <w:rPr>
          <w:rFonts w:ascii="Garamond" w:eastAsia="Times New Roman" w:hAnsi="Garamond" w:cs="Times New Roman"/>
          <w:sz w:val="24"/>
          <w:szCs w:val="24"/>
          <w:lang w:val="en-GB" w:eastAsia="fr-FR"/>
        </w:rPr>
        <w:t xml:space="preserve"> century. This necessitates distinguishing </w:t>
      </w:r>
      <w:r w:rsidR="000A169B">
        <w:rPr>
          <w:rFonts w:ascii="Garamond" w:eastAsia="Times New Roman" w:hAnsi="Garamond" w:cs="Times New Roman"/>
          <w:sz w:val="24"/>
          <w:szCs w:val="24"/>
          <w:lang w:val="en-GB" w:eastAsia="fr-FR"/>
        </w:rPr>
        <w:t>between the</w:t>
      </w:r>
      <w:r w:rsidR="000A169B" w:rsidRPr="00404DA8">
        <w:rPr>
          <w:rFonts w:ascii="Garamond" w:eastAsia="Times New Roman" w:hAnsi="Garamond" w:cs="Times New Roman"/>
          <w:sz w:val="24"/>
          <w:szCs w:val="24"/>
          <w:lang w:val="en-GB" w:eastAsia="fr-FR"/>
        </w:rPr>
        <w:t xml:space="preserve"> </w:t>
      </w:r>
      <w:r w:rsidRPr="00404DA8">
        <w:rPr>
          <w:rFonts w:ascii="Garamond" w:eastAsia="Times New Roman" w:hAnsi="Garamond" w:cs="Times New Roman"/>
          <w:sz w:val="24"/>
          <w:szCs w:val="24"/>
          <w:lang w:val="en-GB" w:eastAsia="fr-FR"/>
        </w:rPr>
        <w:t>modernization</w:t>
      </w:r>
      <w:r w:rsidR="000A169B">
        <w:rPr>
          <w:rFonts w:ascii="Garamond" w:eastAsia="Times New Roman" w:hAnsi="Garamond" w:cs="Times New Roman"/>
          <w:sz w:val="24"/>
          <w:szCs w:val="24"/>
          <w:lang w:val="en-GB" w:eastAsia="fr-FR"/>
        </w:rPr>
        <w:t xml:space="preserve"> that</w:t>
      </w:r>
      <w:r w:rsidRPr="00404DA8">
        <w:rPr>
          <w:rFonts w:ascii="Garamond" w:eastAsia="Times New Roman" w:hAnsi="Garamond" w:cs="Times New Roman"/>
          <w:sz w:val="24"/>
          <w:szCs w:val="24"/>
          <w:lang w:val="en-GB" w:eastAsia="fr-FR"/>
        </w:rPr>
        <w:t xml:space="preserve"> directly stemmed from the CEP </w:t>
      </w:r>
      <w:r w:rsidR="000A169B">
        <w:rPr>
          <w:rFonts w:ascii="Garamond" w:eastAsia="Times New Roman" w:hAnsi="Garamond" w:cs="Times New Roman"/>
          <w:sz w:val="24"/>
          <w:szCs w:val="24"/>
          <w:lang w:val="en-GB" w:eastAsia="fr-FR"/>
        </w:rPr>
        <w:t>and</w:t>
      </w:r>
      <w:r w:rsidR="000A169B" w:rsidRPr="00404DA8">
        <w:rPr>
          <w:rFonts w:ascii="Garamond" w:eastAsia="Times New Roman" w:hAnsi="Garamond" w:cs="Times New Roman"/>
          <w:sz w:val="24"/>
          <w:szCs w:val="24"/>
          <w:lang w:val="en-GB" w:eastAsia="fr-FR"/>
        </w:rPr>
        <w:t xml:space="preserve"> </w:t>
      </w:r>
      <w:r w:rsidR="000A169B">
        <w:rPr>
          <w:rFonts w:ascii="Garamond" w:eastAsia="Times New Roman" w:hAnsi="Garamond" w:cs="Times New Roman"/>
          <w:sz w:val="24"/>
          <w:szCs w:val="24"/>
          <w:lang w:val="en-GB" w:eastAsia="fr-FR"/>
        </w:rPr>
        <w:t>that which</w:t>
      </w:r>
      <w:r w:rsidR="000A169B" w:rsidRPr="00404DA8">
        <w:rPr>
          <w:rFonts w:ascii="Garamond" w:eastAsia="Times New Roman" w:hAnsi="Garamond" w:cs="Times New Roman"/>
          <w:sz w:val="24"/>
          <w:szCs w:val="24"/>
          <w:lang w:val="en-GB" w:eastAsia="fr-FR"/>
        </w:rPr>
        <w:t xml:space="preserve"> </w:t>
      </w:r>
      <w:r w:rsidRPr="00404DA8">
        <w:rPr>
          <w:rFonts w:ascii="Garamond" w:eastAsia="Times New Roman" w:hAnsi="Garamond" w:cs="Times New Roman"/>
          <w:sz w:val="24"/>
          <w:szCs w:val="24"/>
          <w:lang w:val="en-GB" w:eastAsia="fr-FR"/>
        </w:rPr>
        <w:t>predated it and was merely accelerated by the influx of people and capital brought by nuclear testing.</w:t>
      </w:r>
    </w:p>
    <w:p w14:paraId="6C58A788" w14:textId="7777777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b/>
          <w:bCs/>
          <w:sz w:val="24"/>
          <w:szCs w:val="24"/>
          <w:lang w:val="en-GB" w:eastAsia="fr-FR"/>
        </w:rPr>
        <w:t>From Imperial Denial to Health Denial</w:t>
      </w:r>
    </w:p>
    <w:p w14:paraId="201FF7C8" w14:textId="7777777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The military presence established with the CEP eventually withdrew but left behind an enduring association between Polynesia and France. This arrangement represents an alternative to the classic colonial system. It avoided overt colonial terminology during decolonization while granting French Polynesia an unprecedented centrality within French imperial history,</w:t>
      </w:r>
      <w:r w:rsidR="00FC472C" w:rsidRPr="00404DA8">
        <w:rPr>
          <w:rFonts w:ascii="Garamond" w:eastAsia="Times New Roman" w:hAnsi="Garamond" w:cs="Times New Roman"/>
          <w:sz w:val="24"/>
          <w:szCs w:val="24"/>
          <w:lang w:val="en-GB" w:eastAsia="fr-FR"/>
        </w:rPr>
        <w:t xml:space="preserve"> as French empire </w:t>
      </w:r>
      <w:r w:rsidR="00D65B96" w:rsidRPr="00404DA8">
        <w:rPr>
          <w:rFonts w:ascii="Garamond" w:eastAsia="Times New Roman" w:hAnsi="Garamond" w:cs="Times New Roman"/>
          <w:sz w:val="24"/>
          <w:szCs w:val="24"/>
          <w:lang w:val="en-GB" w:eastAsia="fr-FR"/>
        </w:rPr>
        <w:t>starts dissolving and</w:t>
      </w:r>
      <w:r w:rsidRPr="00404DA8">
        <w:rPr>
          <w:rFonts w:ascii="Garamond" w:eastAsia="Times New Roman" w:hAnsi="Garamond" w:cs="Times New Roman"/>
          <w:sz w:val="24"/>
          <w:szCs w:val="24"/>
          <w:lang w:val="en-GB" w:eastAsia="fr-FR"/>
        </w:rPr>
        <w:t xml:space="preserve"> as other islands in the region gained independence and witnessed widening disparities in income and living standards.</w:t>
      </w:r>
    </w:p>
    <w:p w14:paraId="05717260" w14:textId="77777777" w:rsidR="009354F2" w:rsidRPr="00404DA8" w:rsidRDefault="00D65B96"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 xml:space="preserve">This way of using Polynesia as an imperial fringe and relaunching colonization through things and minds without saying so goes hand in hand with </w:t>
      </w:r>
      <w:r w:rsidR="002074AC" w:rsidRPr="00404DA8">
        <w:rPr>
          <w:rFonts w:ascii="Garamond" w:eastAsia="Times New Roman" w:hAnsi="Garamond" w:cs="Times New Roman"/>
          <w:sz w:val="24"/>
          <w:szCs w:val="24"/>
          <w:lang w:val="en-GB" w:eastAsia="fr-FR"/>
        </w:rPr>
        <w:t>denying</w:t>
      </w:r>
      <w:r w:rsidRPr="00404DA8">
        <w:rPr>
          <w:rFonts w:ascii="Garamond" w:eastAsia="Times New Roman" w:hAnsi="Garamond" w:cs="Times New Roman"/>
          <w:sz w:val="24"/>
          <w:szCs w:val="24"/>
          <w:lang w:val="en-GB" w:eastAsia="fr-FR"/>
        </w:rPr>
        <w:t xml:space="preserve"> the health effects</w:t>
      </w:r>
      <w:r w:rsidR="002074AC" w:rsidRPr="00404DA8">
        <w:rPr>
          <w:rFonts w:ascii="Garamond" w:eastAsia="Times New Roman" w:hAnsi="Garamond" w:cs="Times New Roman"/>
          <w:sz w:val="24"/>
          <w:szCs w:val="24"/>
          <w:lang w:val="en-GB" w:eastAsia="fr-FR"/>
        </w:rPr>
        <w:t xml:space="preserve"> of nuclear testing</w:t>
      </w:r>
      <w:r w:rsidRPr="00404DA8">
        <w:rPr>
          <w:rFonts w:ascii="Garamond" w:eastAsia="Times New Roman" w:hAnsi="Garamond" w:cs="Times New Roman"/>
          <w:sz w:val="24"/>
          <w:szCs w:val="24"/>
          <w:lang w:val="en-GB" w:eastAsia="fr-FR"/>
        </w:rPr>
        <w:t xml:space="preserve">. </w:t>
      </w:r>
      <w:r w:rsidR="009354F2" w:rsidRPr="00404DA8">
        <w:rPr>
          <w:rFonts w:ascii="Garamond" w:eastAsia="Times New Roman" w:hAnsi="Garamond" w:cs="Times New Roman"/>
          <w:sz w:val="24"/>
          <w:szCs w:val="24"/>
          <w:lang w:val="en-GB" w:eastAsia="fr-FR"/>
        </w:rPr>
        <w:t>This dual denial—of imperialism and health risks—invites scrutiny of French imperial culture. It highlights the naturalization of French presence in Polynesia through new institutional forms</w:t>
      </w:r>
      <w:r w:rsidR="002074AC" w:rsidRPr="00404DA8">
        <w:rPr>
          <w:rFonts w:ascii="Garamond" w:eastAsia="Times New Roman" w:hAnsi="Garamond" w:cs="Times New Roman"/>
          <w:sz w:val="24"/>
          <w:szCs w:val="24"/>
          <w:lang w:val="en-GB" w:eastAsia="fr-FR"/>
        </w:rPr>
        <w:t xml:space="preserve">. It shows </w:t>
      </w:r>
      <w:r w:rsidR="009354F2" w:rsidRPr="00404DA8">
        <w:rPr>
          <w:rFonts w:ascii="Garamond" w:eastAsia="Times New Roman" w:hAnsi="Garamond" w:cs="Times New Roman"/>
          <w:sz w:val="24"/>
          <w:szCs w:val="24"/>
          <w:lang w:val="en-GB" w:eastAsia="fr-FR"/>
        </w:rPr>
        <w:t>the political culture of Polynesians themselves</w:t>
      </w:r>
      <w:r w:rsidR="002074AC" w:rsidRPr="00404DA8">
        <w:rPr>
          <w:rFonts w:ascii="Garamond" w:eastAsia="Times New Roman" w:hAnsi="Garamond" w:cs="Times New Roman"/>
          <w:sz w:val="24"/>
          <w:szCs w:val="24"/>
          <w:lang w:val="en-GB" w:eastAsia="fr-FR"/>
        </w:rPr>
        <w:t xml:space="preserve"> for whom</w:t>
      </w:r>
      <w:r w:rsidR="009354F2" w:rsidRPr="00404DA8">
        <w:rPr>
          <w:rFonts w:ascii="Garamond" w:eastAsia="Times New Roman" w:hAnsi="Garamond" w:cs="Times New Roman"/>
          <w:sz w:val="24"/>
          <w:szCs w:val="24"/>
          <w:lang w:val="en-GB" w:eastAsia="fr-FR"/>
        </w:rPr>
        <w:t xml:space="preserve"> </w:t>
      </w:r>
      <w:r w:rsidR="002074AC" w:rsidRPr="00404DA8">
        <w:rPr>
          <w:rFonts w:ascii="Garamond" w:eastAsia="Times New Roman" w:hAnsi="Garamond" w:cs="Times New Roman"/>
          <w:sz w:val="24"/>
          <w:szCs w:val="24"/>
          <w:lang w:val="en-GB" w:eastAsia="fr-FR"/>
        </w:rPr>
        <w:t>t</w:t>
      </w:r>
      <w:r w:rsidR="009354F2" w:rsidRPr="00404DA8">
        <w:rPr>
          <w:rFonts w:ascii="Garamond" w:eastAsia="Times New Roman" w:hAnsi="Garamond" w:cs="Times New Roman"/>
          <w:sz w:val="24"/>
          <w:szCs w:val="24"/>
          <w:lang w:val="en-GB" w:eastAsia="fr-FR"/>
        </w:rPr>
        <w:t>he aspiration for decolonization often took the form of sovereignty claims</w:t>
      </w:r>
      <w:r w:rsidR="002074AC" w:rsidRPr="00404DA8">
        <w:rPr>
          <w:rFonts w:ascii="Garamond" w:eastAsia="Times New Roman" w:hAnsi="Garamond" w:cs="Times New Roman"/>
          <w:sz w:val="24"/>
          <w:szCs w:val="24"/>
          <w:lang w:val="en-GB" w:eastAsia="fr-FR"/>
        </w:rPr>
        <w:t xml:space="preserve">. These demands were </w:t>
      </w:r>
      <w:r w:rsidR="009354F2" w:rsidRPr="00404DA8">
        <w:rPr>
          <w:rFonts w:ascii="Garamond" w:eastAsia="Times New Roman" w:hAnsi="Garamond" w:cs="Times New Roman"/>
          <w:sz w:val="24"/>
          <w:szCs w:val="24"/>
          <w:lang w:val="en-GB" w:eastAsia="fr-FR"/>
        </w:rPr>
        <w:t>fuel</w:t>
      </w:r>
      <w:r w:rsidR="002074AC" w:rsidRPr="00404DA8">
        <w:rPr>
          <w:rFonts w:ascii="Garamond" w:eastAsia="Times New Roman" w:hAnsi="Garamond" w:cs="Times New Roman"/>
          <w:sz w:val="24"/>
          <w:szCs w:val="24"/>
          <w:lang w:val="en-GB" w:eastAsia="fr-FR"/>
        </w:rPr>
        <w:t>l</w:t>
      </w:r>
      <w:r w:rsidR="009354F2" w:rsidRPr="00404DA8">
        <w:rPr>
          <w:rFonts w:ascii="Garamond" w:eastAsia="Times New Roman" w:hAnsi="Garamond" w:cs="Times New Roman"/>
          <w:sz w:val="24"/>
          <w:szCs w:val="24"/>
          <w:lang w:val="en-GB" w:eastAsia="fr-FR"/>
        </w:rPr>
        <w:t xml:space="preserve">ed by opposition to the CEP and its associated health risks. As a result, the state's minimization, </w:t>
      </w:r>
      <w:proofErr w:type="spellStart"/>
      <w:r w:rsidR="009354F2" w:rsidRPr="00404DA8">
        <w:rPr>
          <w:rFonts w:ascii="Garamond" w:eastAsia="Times New Roman" w:hAnsi="Garamond" w:cs="Times New Roman"/>
          <w:sz w:val="24"/>
          <w:szCs w:val="24"/>
          <w:lang w:val="en-GB" w:eastAsia="fr-FR"/>
        </w:rPr>
        <w:t>euphemization</w:t>
      </w:r>
      <w:proofErr w:type="spellEnd"/>
      <w:r w:rsidR="009354F2" w:rsidRPr="00404DA8">
        <w:rPr>
          <w:rFonts w:ascii="Garamond" w:eastAsia="Times New Roman" w:hAnsi="Garamond" w:cs="Times New Roman"/>
          <w:sz w:val="24"/>
          <w:szCs w:val="24"/>
          <w:lang w:val="en-GB" w:eastAsia="fr-FR"/>
        </w:rPr>
        <w:t xml:space="preserve">, and concealment of health hazards converged with accusations of </w:t>
      </w:r>
      <w:r w:rsidR="002074AC" w:rsidRPr="00404DA8">
        <w:rPr>
          <w:rFonts w:ascii="Garamond" w:eastAsia="Times New Roman" w:hAnsi="Garamond" w:cs="Times New Roman"/>
          <w:sz w:val="24"/>
          <w:szCs w:val="24"/>
          <w:lang w:val="en-GB" w:eastAsia="fr-FR"/>
        </w:rPr>
        <w:t xml:space="preserve">the aforementioned </w:t>
      </w:r>
      <w:r w:rsidR="009354F2" w:rsidRPr="00404DA8">
        <w:rPr>
          <w:rFonts w:ascii="Garamond" w:eastAsia="Times New Roman" w:hAnsi="Garamond" w:cs="Times New Roman"/>
          <w:sz w:val="24"/>
          <w:szCs w:val="24"/>
          <w:lang w:val="en-GB" w:eastAsia="fr-FR"/>
        </w:rPr>
        <w:t>dual denial—imperial and sanitary.</w:t>
      </w:r>
    </w:p>
    <w:p w14:paraId="6C3D819F" w14:textId="7777777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 xml:space="preserve">These taxonomic questions are essential. However, to avoid theoretical speculation, they must engage with the historical realities of circulations under U.S., British, and French nuclear imperialisms. This is why we propose </w:t>
      </w:r>
      <w:proofErr w:type="spellStart"/>
      <w:r w:rsidRPr="00404DA8">
        <w:rPr>
          <w:rFonts w:ascii="Garamond" w:eastAsia="Times New Roman" w:hAnsi="Garamond" w:cs="Times New Roman"/>
          <w:sz w:val="24"/>
          <w:szCs w:val="24"/>
          <w:lang w:val="en-GB" w:eastAsia="fr-FR"/>
        </w:rPr>
        <w:t>analyzing</w:t>
      </w:r>
      <w:proofErr w:type="spellEnd"/>
      <w:r w:rsidRPr="00404DA8">
        <w:rPr>
          <w:rFonts w:ascii="Garamond" w:eastAsia="Times New Roman" w:hAnsi="Garamond" w:cs="Times New Roman"/>
          <w:sz w:val="24"/>
          <w:szCs w:val="24"/>
          <w:lang w:val="en-GB" w:eastAsia="fr-FR"/>
        </w:rPr>
        <w:t xml:space="preserve"> circulations to illuminate relationships between metropoles and sites, among the sites themselves, and within French Polynesia and the broader nuclearized Pacific.</w:t>
      </w:r>
    </w:p>
    <w:p w14:paraId="0EA2AC2C" w14:textId="7777777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b/>
          <w:bCs/>
          <w:sz w:val="24"/>
          <w:szCs w:val="24"/>
          <w:lang w:val="en-GB" w:eastAsia="fr-FR"/>
        </w:rPr>
        <w:t>Circulations</w:t>
      </w:r>
    </w:p>
    <w:p w14:paraId="11B3CDC2" w14:textId="7777777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 xml:space="preserve">In 1961, the inauguration of Tahiti's international airport marked a new phase in French Polynesia's </w:t>
      </w:r>
      <w:commentRangeStart w:id="0"/>
      <w:r w:rsidRPr="00404DA8">
        <w:rPr>
          <w:rFonts w:ascii="Garamond" w:eastAsia="Times New Roman" w:hAnsi="Garamond" w:cs="Times New Roman"/>
          <w:sz w:val="24"/>
          <w:szCs w:val="24"/>
          <w:lang w:val="en-GB" w:eastAsia="fr-FR"/>
        </w:rPr>
        <w:t>accessibility</w:t>
      </w:r>
      <w:commentRangeEnd w:id="0"/>
      <w:r w:rsidR="007F3F33">
        <w:rPr>
          <w:rStyle w:val="Marquedecommentaire"/>
        </w:rPr>
        <w:commentReference w:id="0"/>
      </w:r>
      <w:r w:rsidRPr="00404DA8">
        <w:rPr>
          <w:rFonts w:ascii="Garamond" w:eastAsia="Times New Roman" w:hAnsi="Garamond" w:cs="Times New Roman"/>
          <w:sz w:val="24"/>
          <w:szCs w:val="24"/>
          <w:lang w:val="en-GB" w:eastAsia="fr-FR"/>
        </w:rPr>
        <w:t xml:space="preserve">. It </w:t>
      </w:r>
      <w:proofErr w:type="spellStart"/>
      <w:r w:rsidRPr="00404DA8">
        <w:rPr>
          <w:rFonts w:ascii="Garamond" w:eastAsia="Times New Roman" w:hAnsi="Garamond" w:cs="Times New Roman"/>
          <w:sz w:val="24"/>
          <w:szCs w:val="24"/>
          <w:lang w:val="en-GB" w:eastAsia="fr-FR"/>
        </w:rPr>
        <w:t>signaled</w:t>
      </w:r>
      <w:proofErr w:type="spellEnd"/>
      <w:r w:rsidRPr="00404DA8">
        <w:rPr>
          <w:rFonts w:ascii="Garamond" w:eastAsia="Times New Roman" w:hAnsi="Garamond" w:cs="Times New Roman"/>
          <w:sz w:val="24"/>
          <w:szCs w:val="24"/>
          <w:lang w:val="en-GB" w:eastAsia="fr-FR"/>
        </w:rPr>
        <w:t xml:space="preserve"> a reorganization of flows: </w:t>
      </w:r>
      <w:r w:rsidR="00D65156" w:rsidRPr="00404DA8">
        <w:rPr>
          <w:rFonts w:ascii="Garamond" w:eastAsia="Times New Roman" w:hAnsi="Garamond" w:cs="Times New Roman"/>
          <w:sz w:val="24"/>
          <w:szCs w:val="24"/>
          <w:lang w:val="en-GB" w:eastAsia="fr-FR"/>
        </w:rPr>
        <w:t>the harbour</w:t>
      </w:r>
      <w:r w:rsidRPr="00404DA8">
        <w:rPr>
          <w:rFonts w:ascii="Garamond" w:eastAsia="Times New Roman" w:hAnsi="Garamond" w:cs="Times New Roman"/>
          <w:sz w:val="24"/>
          <w:szCs w:val="24"/>
          <w:lang w:val="en-GB" w:eastAsia="fr-FR"/>
        </w:rPr>
        <w:t xml:space="preserve"> specialized in goods transport while </w:t>
      </w:r>
      <w:r w:rsidR="00D65156" w:rsidRPr="00404DA8">
        <w:rPr>
          <w:rFonts w:ascii="Garamond" w:eastAsia="Times New Roman" w:hAnsi="Garamond" w:cs="Times New Roman"/>
          <w:sz w:val="24"/>
          <w:szCs w:val="24"/>
          <w:lang w:val="en-GB" w:eastAsia="fr-FR"/>
        </w:rPr>
        <w:t xml:space="preserve">the </w:t>
      </w:r>
      <w:r w:rsidRPr="00404DA8">
        <w:rPr>
          <w:rFonts w:ascii="Garamond" w:eastAsia="Times New Roman" w:hAnsi="Garamond" w:cs="Times New Roman"/>
          <w:sz w:val="24"/>
          <w:szCs w:val="24"/>
          <w:lang w:val="en-GB" w:eastAsia="fr-FR"/>
        </w:rPr>
        <w:t xml:space="preserve">airport focused on passengers. This period witnessed accelerated long-distance movement and the increased integration of Tahiti into a global circulatory network. However, French Polynesia remained </w:t>
      </w:r>
      <w:r w:rsidR="00D65156" w:rsidRPr="00404DA8">
        <w:rPr>
          <w:rFonts w:ascii="Garamond" w:eastAsia="Times New Roman" w:hAnsi="Garamond" w:cs="Times New Roman"/>
          <w:sz w:val="24"/>
          <w:szCs w:val="24"/>
          <w:lang w:val="en-GB" w:eastAsia="fr-FR"/>
        </w:rPr>
        <w:t xml:space="preserve">at the fringe of </w:t>
      </w:r>
      <w:r w:rsidRPr="00404DA8">
        <w:rPr>
          <w:rFonts w:ascii="Garamond" w:eastAsia="Times New Roman" w:hAnsi="Garamond" w:cs="Times New Roman"/>
          <w:sz w:val="24"/>
          <w:szCs w:val="24"/>
          <w:lang w:val="en-GB" w:eastAsia="fr-FR"/>
        </w:rPr>
        <w:t>this system, absent from major maritime routes and limited by costly air travel.</w:t>
      </w:r>
    </w:p>
    <w:p w14:paraId="39E940AD" w14:textId="7777777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From 1963, the French government's decision to establish the CEP paradoxically strengthened ties to the region while exerting direct control over part of the territory during a broader decolonization and decentralization context. At the scale of French Polynesia, a new infrastructure system emerged: construction of airstrips in other archipelagos, opening passes where the CEP established bases (</w:t>
      </w:r>
      <w:r w:rsidR="00D65156" w:rsidRPr="00404DA8">
        <w:rPr>
          <w:rFonts w:ascii="Garamond" w:eastAsia="Times New Roman" w:hAnsi="Garamond" w:cs="Times New Roman"/>
          <w:sz w:val="24"/>
          <w:szCs w:val="24"/>
          <w:lang w:val="en-GB" w:eastAsia="fr-FR"/>
        </w:rPr>
        <w:t>testing sites</w:t>
      </w:r>
      <w:r w:rsidRPr="00404DA8">
        <w:rPr>
          <w:rFonts w:ascii="Garamond" w:eastAsia="Times New Roman" w:hAnsi="Garamond" w:cs="Times New Roman"/>
          <w:sz w:val="24"/>
          <w:szCs w:val="24"/>
          <w:lang w:val="en-GB" w:eastAsia="fr-FR"/>
        </w:rPr>
        <w:t>, rear</w:t>
      </w:r>
      <w:r w:rsidR="00D65156" w:rsidRPr="00404DA8">
        <w:rPr>
          <w:rFonts w:ascii="Garamond" w:eastAsia="Times New Roman" w:hAnsi="Garamond" w:cs="Times New Roman"/>
          <w:sz w:val="24"/>
          <w:szCs w:val="24"/>
          <w:lang w:val="en-GB" w:eastAsia="fr-FR"/>
        </w:rPr>
        <w:t xml:space="preserve"> and advanced bases</w:t>
      </w:r>
      <w:r w:rsidRPr="00404DA8">
        <w:rPr>
          <w:rFonts w:ascii="Garamond" w:eastAsia="Times New Roman" w:hAnsi="Garamond" w:cs="Times New Roman"/>
          <w:sz w:val="24"/>
          <w:szCs w:val="24"/>
          <w:lang w:val="en-GB" w:eastAsia="fr-FR"/>
        </w:rPr>
        <w:t>, and peripheral</w:t>
      </w:r>
      <w:r w:rsidR="00D65156" w:rsidRPr="00404DA8">
        <w:rPr>
          <w:rFonts w:ascii="Garamond" w:eastAsia="Times New Roman" w:hAnsi="Garamond" w:cs="Times New Roman"/>
          <w:sz w:val="24"/>
          <w:szCs w:val="24"/>
          <w:lang w:val="en-GB" w:eastAsia="fr-FR"/>
        </w:rPr>
        <w:t xml:space="preserve"> sites</w:t>
      </w:r>
      <w:r w:rsidRPr="00404DA8">
        <w:rPr>
          <w:rFonts w:ascii="Garamond" w:eastAsia="Times New Roman" w:hAnsi="Garamond" w:cs="Times New Roman"/>
          <w:sz w:val="24"/>
          <w:szCs w:val="24"/>
          <w:lang w:val="en-GB" w:eastAsia="fr-FR"/>
        </w:rPr>
        <w:t xml:space="preserve">), and </w:t>
      </w:r>
      <w:r w:rsidR="00D65156" w:rsidRPr="00404DA8">
        <w:rPr>
          <w:rFonts w:ascii="Garamond" w:eastAsia="Times New Roman" w:hAnsi="Garamond" w:cs="Times New Roman"/>
          <w:sz w:val="24"/>
          <w:szCs w:val="24"/>
          <w:lang w:val="en-GB" w:eastAsia="fr-FR"/>
        </w:rPr>
        <w:t>where</w:t>
      </w:r>
      <w:r w:rsidRPr="00404DA8">
        <w:rPr>
          <w:rFonts w:ascii="Garamond" w:eastAsia="Times New Roman" w:hAnsi="Garamond" w:cs="Times New Roman"/>
          <w:sz w:val="24"/>
          <w:szCs w:val="24"/>
          <w:lang w:val="en-GB" w:eastAsia="fr-FR"/>
        </w:rPr>
        <w:t xml:space="preserve"> development projects </w:t>
      </w:r>
      <w:r w:rsidR="00D65156" w:rsidRPr="00404DA8">
        <w:rPr>
          <w:rFonts w:ascii="Garamond" w:eastAsia="Times New Roman" w:hAnsi="Garamond" w:cs="Times New Roman"/>
          <w:sz w:val="24"/>
          <w:szCs w:val="24"/>
          <w:lang w:val="en-GB" w:eastAsia="fr-FR"/>
        </w:rPr>
        <w:t xml:space="preserve">were started </w:t>
      </w:r>
      <w:r w:rsidRPr="00404DA8">
        <w:rPr>
          <w:rFonts w:ascii="Garamond" w:eastAsia="Times New Roman" w:hAnsi="Garamond" w:cs="Times New Roman"/>
          <w:sz w:val="24"/>
          <w:szCs w:val="24"/>
          <w:lang w:val="en-GB" w:eastAsia="fr-FR"/>
        </w:rPr>
        <w:t>in parallel.</w:t>
      </w:r>
    </w:p>
    <w:p w14:paraId="44630557" w14:textId="55B41E26"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lastRenderedPageBreak/>
        <w:t>Transportation infrastructure expanded significantly in the 1960s, marking a turning point partly, but not solely, attributable to the CEP's establishment. This phenomenon has</w:t>
      </w:r>
      <w:r w:rsidR="0090055D" w:rsidRPr="00404DA8">
        <w:rPr>
          <w:rFonts w:ascii="Garamond" w:eastAsia="Times New Roman" w:hAnsi="Garamond" w:cs="Times New Roman"/>
          <w:sz w:val="24"/>
          <w:szCs w:val="24"/>
          <w:lang w:val="en-GB" w:eastAsia="fr-FR"/>
        </w:rPr>
        <w:t xml:space="preserve"> even</w:t>
      </w:r>
      <w:r w:rsidRPr="00404DA8">
        <w:rPr>
          <w:rFonts w:ascii="Garamond" w:eastAsia="Times New Roman" w:hAnsi="Garamond" w:cs="Times New Roman"/>
          <w:sz w:val="24"/>
          <w:szCs w:val="24"/>
          <w:lang w:val="en-GB" w:eastAsia="fr-FR"/>
        </w:rPr>
        <w:t xml:space="preserve"> spurred scientific debate. </w:t>
      </w:r>
      <w:r w:rsidR="0090055D" w:rsidRPr="00404DA8">
        <w:rPr>
          <w:rFonts w:ascii="Garamond" w:eastAsia="Times New Roman" w:hAnsi="Garamond" w:cs="Times New Roman"/>
          <w:sz w:val="24"/>
          <w:szCs w:val="24"/>
          <w:lang w:val="en-GB" w:eastAsia="fr-FR"/>
        </w:rPr>
        <w:t>Regardless</w:t>
      </w:r>
      <w:r w:rsidR="00770629">
        <w:rPr>
          <w:rFonts w:ascii="Garamond" w:eastAsia="Times New Roman" w:hAnsi="Garamond" w:cs="Times New Roman"/>
          <w:sz w:val="24"/>
          <w:szCs w:val="24"/>
          <w:lang w:val="en-GB" w:eastAsia="fr-FR"/>
        </w:rPr>
        <w:t xml:space="preserve"> of that</w:t>
      </w:r>
      <w:r w:rsidR="0090055D" w:rsidRPr="00404DA8">
        <w:rPr>
          <w:rFonts w:ascii="Garamond" w:eastAsia="Times New Roman" w:hAnsi="Garamond" w:cs="Times New Roman"/>
          <w:sz w:val="24"/>
          <w:szCs w:val="24"/>
          <w:lang w:val="en-GB" w:eastAsia="fr-FR"/>
        </w:rPr>
        <w:t xml:space="preserve">, </w:t>
      </w:r>
      <w:r w:rsidR="008B3DF7" w:rsidRPr="00404DA8">
        <w:rPr>
          <w:rFonts w:ascii="Garamond" w:eastAsia="Times New Roman" w:hAnsi="Garamond" w:cs="Times New Roman"/>
          <w:sz w:val="24"/>
          <w:szCs w:val="24"/>
          <w:lang w:val="en-GB" w:eastAsia="fr-FR"/>
        </w:rPr>
        <w:t>the development of transportation infrastructure goes hand in hand with what some authors have termed the "nuclearization of the territory</w:t>
      </w:r>
      <w:r w:rsidR="00770629">
        <w:rPr>
          <w:rStyle w:val="Appelnotedebasdep"/>
        </w:rPr>
        <w:footnoteReference w:id="5"/>
      </w:r>
      <w:r w:rsidR="008B3DF7" w:rsidRPr="00404DA8">
        <w:rPr>
          <w:rFonts w:ascii="Garamond" w:eastAsia="Times New Roman" w:hAnsi="Garamond" w:cs="Times New Roman"/>
          <w:sz w:val="24"/>
          <w:szCs w:val="24"/>
          <w:lang w:val="en-GB" w:eastAsia="fr-FR"/>
        </w:rPr>
        <w:t xml:space="preserve">," a concept that considers how the circulation of nuclear-related objects, as well as the people involved in the various stages of designing and producing a nuclear weapon or generating nuclear energy, contributes to extending the domain of </w:t>
      </w:r>
      <w:proofErr w:type="spellStart"/>
      <w:r w:rsidR="008B3DF7" w:rsidRPr="00404DA8">
        <w:rPr>
          <w:rFonts w:ascii="Garamond" w:eastAsia="Times New Roman" w:hAnsi="Garamond" w:cs="Times New Roman"/>
          <w:sz w:val="24"/>
          <w:szCs w:val="24"/>
          <w:lang w:val="en-GB" w:eastAsia="fr-FR"/>
        </w:rPr>
        <w:t>nuclearity</w:t>
      </w:r>
      <w:proofErr w:type="spellEnd"/>
      <w:r w:rsidR="008B3DF7" w:rsidRPr="00404DA8">
        <w:rPr>
          <w:rFonts w:ascii="Garamond" w:eastAsia="Times New Roman" w:hAnsi="Garamond" w:cs="Times New Roman"/>
          <w:sz w:val="24"/>
          <w:szCs w:val="24"/>
          <w:lang w:val="en-GB" w:eastAsia="fr-FR"/>
        </w:rPr>
        <w:t xml:space="preserve"> beyond spaces and minerals directly affected by radioactivity. Gabrielle Hecht, for instance, emphasizes the idea of "</w:t>
      </w:r>
      <w:proofErr w:type="spellStart"/>
      <w:r w:rsidR="008B3DF7" w:rsidRPr="00404DA8">
        <w:rPr>
          <w:rFonts w:ascii="Garamond" w:eastAsia="Times New Roman" w:hAnsi="Garamond" w:cs="Times New Roman"/>
          <w:sz w:val="24"/>
          <w:szCs w:val="24"/>
          <w:lang w:val="en-GB" w:eastAsia="fr-FR"/>
        </w:rPr>
        <w:t>nuclearity</w:t>
      </w:r>
      <w:proofErr w:type="spellEnd"/>
      <w:r w:rsidR="008B3DF7" w:rsidRPr="00404DA8">
        <w:rPr>
          <w:rFonts w:ascii="Garamond" w:eastAsia="Times New Roman" w:hAnsi="Garamond" w:cs="Times New Roman"/>
          <w:sz w:val="24"/>
          <w:szCs w:val="24"/>
          <w:lang w:val="en-GB" w:eastAsia="fr-FR"/>
        </w:rPr>
        <w:t xml:space="preserve"> among things," rather than "</w:t>
      </w:r>
      <w:proofErr w:type="spellStart"/>
      <w:r w:rsidR="008B3DF7" w:rsidRPr="00404DA8">
        <w:rPr>
          <w:rFonts w:ascii="Garamond" w:eastAsia="Times New Roman" w:hAnsi="Garamond" w:cs="Times New Roman"/>
          <w:sz w:val="24"/>
          <w:szCs w:val="24"/>
          <w:lang w:val="en-GB" w:eastAsia="fr-FR"/>
        </w:rPr>
        <w:t>nuclearity</w:t>
      </w:r>
      <w:proofErr w:type="spellEnd"/>
      <w:r w:rsidR="008B3DF7" w:rsidRPr="00404DA8">
        <w:rPr>
          <w:rFonts w:ascii="Garamond" w:eastAsia="Times New Roman" w:hAnsi="Garamond" w:cs="Times New Roman"/>
          <w:sz w:val="24"/>
          <w:szCs w:val="24"/>
          <w:lang w:val="en-GB" w:eastAsia="fr-FR"/>
        </w:rPr>
        <w:t xml:space="preserve"> of things," to highlight how the influence of </w:t>
      </w:r>
      <w:proofErr w:type="spellStart"/>
      <w:r w:rsidR="008B3DF7" w:rsidRPr="00404DA8">
        <w:rPr>
          <w:rFonts w:ascii="Garamond" w:eastAsia="Times New Roman" w:hAnsi="Garamond" w:cs="Times New Roman"/>
          <w:sz w:val="24"/>
          <w:szCs w:val="24"/>
          <w:lang w:val="en-GB" w:eastAsia="fr-FR"/>
        </w:rPr>
        <w:t>nuclearity</w:t>
      </w:r>
      <w:proofErr w:type="spellEnd"/>
      <w:r w:rsidR="008B3DF7" w:rsidRPr="00404DA8">
        <w:rPr>
          <w:rFonts w:ascii="Garamond" w:eastAsia="Times New Roman" w:hAnsi="Garamond" w:cs="Times New Roman"/>
          <w:sz w:val="24"/>
          <w:szCs w:val="24"/>
          <w:lang w:val="en-GB" w:eastAsia="fr-FR"/>
        </w:rPr>
        <w:t xml:space="preserve"> extends beyond the presence of radioactive material itself</w:t>
      </w:r>
      <w:r w:rsidR="001B040F">
        <w:rPr>
          <w:rStyle w:val="Appelnotedebasdep"/>
        </w:rPr>
        <w:footnoteReference w:id="6"/>
      </w:r>
      <w:r w:rsidR="008B3DF7" w:rsidRPr="00404DA8">
        <w:rPr>
          <w:rFonts w:ascii="Garamond" w:eastAsia="Times New Roman" w:hAnsi="Garamond" w:cs="Times New Roman"/>
          <w:sz w:val="24"/>
          <w:szCs w:val="24"/>
          <w:lang w:val="en-GB" w:eastAsia="fr-FR"/>
        </w:rPr>
        <w:t>.</w:t>
      </w:r>
      <w:r w:rsidR="00BD6B3B" w:rsidRPr="00404DA8">
        <w:rPr>
          <w:rFonts w:ascii="Garamond" w:eastAsia="Times New Roman" w:hAnsi="Garamond" w:cs="Times New Roman"/>
          <w:sz w:val="24"/>
          <w:szCs w:val="24"/>
          <w:lang w:val="en-GB" w:eastAsia="fr-FR"/>
        </w:rPr>
        <w:t xml:space="preserve"> </w:t>
      </w:r>
      <w:r w:rsidR="008B3DF7" w:rsidRPr="00404DA8">
        <w:rPr>
          <w:rFonts w:ascii="Garamond" w:eastAsia="Times New Roman" w:hAnsi="Garamond" w:cs="Times New Roman"/>
          <w:sz w:val="24"/>
          <w:szCs w:val="24"/>
          <w:lang w:val="en-GB" w:eastAsia="fr-FR"/>
        </w:rPr>
        <w:t>In the case of French Polynesia, nuclearization involved the physical realization of nuclear tests—referred to as "</w:t>
      </w:r>
      <w:proofErr w:type="spellStart"/>
      <w:r w:rsidR="008B3DF7" w:rsidRPr="00404DA8">
        <w:rPr>
          <w:rFonts w:ascii="Garamond" w:eastAsia="Times New Roman" w:hAnsi="Garamond" w:cs="Times New Roman"/>
          <w:sz w:val="24"/>
          <w:szCs w:val="24"/>
          <w:lang w:val="en-GB" w:eastAsia="fr-FR"/>
        </w:rPr>
        <w:t>essais</w:t>
      </w:r>
      <w:proofErr w:type="spellEnd"/>
      <w:r w:rsidR="008B3DF7" w:rsidRPr="00404DA8">
        <w:rPr>
          <w:rFonts w:ascii="Garamond" w:eastAsia="Times New Roman" w:hAnsi="Garamond" w:cs="Times New Roman"/>
          <w:sz w:val="24"/>
          <w:szCs w:val="24"/>
          <w:lang w:val="en-GB" w:eastAsia="fr-FR"/>
        </w:rPr>
        <w:t xml:space="preserve">"—and the accompanying, </w:t>
      </w:r>
      <w:r w:rsidRPr="00404DA8">
        <w:rPr>
          <w:rFonts w:ascii="Garamond" w:eastAsia="Times New Roman" w:hAnsi="Garamond" w:cs="Times New Roman"/>
          <w:sz w:val="24"/>
          <w:szCs w:val="24"/>
          <w:lang w:val="en-GB" w:eastAsia="fr-FR"/>
        </w:rPr>
        <w:t>highly controlled circulations (materials, technologies, personnel</w:t>
      </w:r>
      <w:r w:rsidR="008B3DF7" w:rsidRPr="00404DA8">
        <w:rPr>
          <w:rFonts w:ascii="Garamond" w:eastAsia="Times New Roman" w:hAnsi="Garamond" w:cs="Times New Roman"/>
          <w:sz w:val="24"/>
          <w:szCs w:val="24"/>
          <w:lang w:val="en-GB" w:eastAsia="fr-FR"/>
        </w:rPr>
        <w:t xml:space="preserve">, </w:t>
      </w:r>
      <w:r w:rsidRPr="00404DA8">
        <w:rPr>
          <w:rFonts w:ascii="Garamond" w:eastAsia="Times New Roman" w:hAnsi="Garamond" w:cs="Times New Roman"/>
          <w:sz w:val="24"/>
          <w:szCs w:val="24"/>
          <w:lang w:val="en-GB" w:eastAsia="fr-FR"/>
        </w:rPr>
        <w:t>protective measures for populations in high-risk areas</w:t>
      </w:r>
      <w:r w:rsidR="008B3DF7" w:rsidRPr="00404DA8">
        <w:rPr>
          <w:rFonts w:ascii="Garamond" w:eastAsia="Times New Roman" w:hAnsi="Garamond" w:cs="Times New Roman"/>
          <w:sz w:val="24"/>
          <w:szCs w:val="24"/>
          <w:lang w:val="en-GB" w:eastAsia="fr-FR"/>
        </w:rPr>
        <w:t>)</w:t>
      </w:r>
      <w:r w:rsidR="00A8484C" w:rsidRPr="00404DA8">
        <w:rPr>
          <w:rFonts w:ascii="Garamond" w:eastAsia="Times New Roman" w:hAnsi="Garamond" w:cs="Times New Roman"/>
          <w:sz w:val="24"/>
          <w:szCs w:val="24"/>
          <w:lang w:val="en-GB" w:eastAsia="fr-FR"/>
        </w:rPr>
        <w:t>:</w:t>
      </w:r>
      <w:r w:rsidR="008B3DF7" w:rsidRPr="00404DA8">
        <w:rPr>
          <w:rFonts w:ascii="Garamond" w:eastAsia="Times New Roman" w:hAnsi="Garamond" w:cs="Times New Roman"/>
          <w:sz w:val="24"/>
          <w:szCs w:val="24"/>
          <w:lang w:val="en-GB" w:eastAsia="fr-FR"/>
        </w:rPr>
        <w:t xml:space="preserve"> </w:t>
      </w:r>
      <w:r w:rsidR="00770629">
        <w:rPr>
          <w:rFonts w:ascii="Garamond" w:eastAsia="Times New Roman" w:hAnsi="Garamond" w:cs="Times New Roman"/>
          <w:sz w:val="24"/>
          <w:szCs w:val="24"/>
          <w:lang w:val="en-GB" w:eastAsia="fr-FR"/>
        </w:rPr>
        <w:t>n</w:t>
      </w:r>
      <w:r w:rsidR="00A8484C" w:rsidRPr="00404DA8">
        <w:rPr>
          <w:rFonts w:ascii="Garamond" w:eastAsia="Times New Roman" w:hAnsi="Garamond" w:cs="Times New Roman"/>
          <w:sz w:val="24"/>
          <w:szCs w:val="24"/>
          <w:lang w:val="en-GB" w:eastAsia="fr-FR"/>
        </w:rPr>
        <w:t xml:space="preserve">o one could be absent during the tests; it was essential to secure the workforce (while adhering to geopolitical considerations that, for instance, prohibited the use of </w:t>
      </w:r>
      <w:r w:rsidR="00BD6B3B" w:rsidRPr="00404DA8">
        <w:rPr>
          <w:rFonts w:ascii="Garamond" w:eastAsia="Times New Roman" w:hAnsi="Garamond" w:cs="Times New Roman"/>
          <w:sz w:val="24"/>
          <w:szCs w:val="24"/>
          <w:lang w:val="en-GB" w:eastAsia="fr-FR"/>
        </w:rPr>
        <w:t>workers</w:t>
      </w:r>
      <w:r w:rsidR="00A8484C" w:rsidRPr="00404DA8">
        <w:rPr>
          <w:rFonts w:ascii="Garamond" w:eastAsia="Times New Roman" w:hAnsi="Garamond" w:cs="Times New Roman"/>
          <w:sz w:val="24"/>
          <w:szCs w:val="24"/>
          <w:lang w:val="en-GB" w:eastAsia="fr-FR"/>
        </w:rPr>
        <w:t xml:space="preserve"> from the Cook Islands, as had previously been the case with phosphate mining on Makatea); the transportation of the bombs used was itself a complex process.</w:t>
      </w:r>
    </w:p>
    <w:p w14:paraId="25D0A1F0" w14:textId="527384FB"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 xml:space="preserve">Nuclearization also introduced other flows (machinery, materials, consumer goods) unrelated to nuclear </w:t>
      </w:r>
      <w:r w:rsidR="00770629">
        <w:rPr>
          <w:rFonts w:ascii="Garamond" w:eastAsia="Times New Roman" w:hAnsi="Garamond" w:cs="Times New Roman"/>
          <w:sz w:val="24"/>
          <w:szCs w:val="24"/>
          <w:lang w:val="en-GB" w:eastAsia="fr-FR"/>
        </w:rPr>
        <w:t>specificity</w:t>
      </w:r>
      <w:r w:rsidRPr="00404DA8">
        <w:rPr>
          <w:rFonts w:ascii="Garamond" w:eastAsia="Times New Roman" w:hAnsi="Garamond" w:cs="Times New Roman"/>
          <w:sz w:val="24"/>
          <w:szCs w:val="24"/>
          <w:lang w:val="en-GB" w:eastAsia="fr-FR"/>
        </w:rPr>
        <w:t xml:space="preserve"> but reflecting French Polynesia's development and modernization. However, this growth was "regressive," driven less by deliberate policy than by massive CEP-related expenditures. Consequently, early projects aimed to stimulate autonomous growth that could eventually replace CEP-driven activity.</w:t>
      </w:r>
      <w:r w:rsidR="00016E88" w:rsidRPr="00404DA8">
        <w:rPr>
          <w:rFonts w:ascii="Garamond" w:eastAsia="Times New Roman" w:hAnsi="Garamond" w:cs="Times New Roman"/>
          <w:sz w:val="24"/>
          <w:szCs w:val="24"/>
          <w:lang w:val="en-GB" w:eastAsia="fr-FR"/>
        </w:rPr>
        <w:t xml:space="preserve"> Like some nuclearized African countries</w:t>
      </w:r>
      <w:r w:rsidR="001B040F">
        <w:rPr>
          <w:rStyle w:val="Appelnotedebasdep"/>
        </w:rPr>
        <w:footnoteReference w:id="7"/>
      </w:r>
      <w:r w:rsidR="00016E88" w:rsidRPr="00404DA8">
        <w:rPr>
          <w:rFonts w:ascii="Garamond" w:eastAsia="Times New Roman" w:hAnsi="Garamond" w:cs="Times New Roman"/>
          <w:sz w:val="24"/>
          <w:szCs w:val="24"/>
          <w:lang w:val="en-GB" w:eastAsia="fr-FR"/>
        </w:rPr>
        <w:t xml:space="preserve">, </w:t>
      </w:r>
      <w:r w:rsidRPr="00404DA8">
        <w:rPr>
          <w:rFonts w:ascii="Garamond" w:eastAsia="Times New Roman" w:hAnsi="Garamond" w:cs="Times New Roman"/>
          <w:sz w:val="24"/>
          <w:szCs w:val="24"/>
          <w:lang w:val="en-GB" w:eastAsia="fr-FR"/>
        </w:rPr>
        <w:t>French Polynesia remained a fetishized territory</w:t>
      </w:r>
      <w:r w:rsidR="001B040F">
        <w:rPr>
          <w:rStyle w:val="Appelnotedebasdep"/>
        </w:rPr>
        <w:footnoteReference w:id="8"/>
      </w:r>
      <w:r w:rsidRPr="00404DA8">
        <w:rPr>
          <w:rFonts w:ascii="Garamond" w:eastAsia="Times New Roman" w:hAnsi="Garamond" w:cs="Times New Roman"/>
          <w:sz w:val="24"/>
          <w:szCs w:val="24"/>
          <w:lang w:val="en-GB" w:eastAsia="fr-FR"/>
        </w:rPr>
        <w:t xml:space="preserve">, perceived as </w:t>
      </w:r>
      <w:r w:rsidR="00AE4BDD" w:rsidRPr="00404DA8">
        <w:rPr>
          <w:rFonts w:ascii="Garamond" w:eastAsia="Times New Roman" w:hAnsi="Garamond" w:cs="Times New Roman"/>
          <w:sz w:val="24"/>
          <w:szCs w:val="24"/>
          <w:lang w:val="en-GB" w:eastAsia="fr-FR"/>
        </w:rPr>
        <w:t>“</w:t>
      </w:r>
      <w:r w:rsidRPr="00404DA8">
        <w:rPr>
          <w:rFonts w:ascii="Garamond" w:eastAsia="Times New Roman" w:hAnsi="Garamond" w:cs="Times New Roman"/>
          <w:sz w:val="24"/>
          <w:szCs w:val="24"/>
          <w:lang w:val="en-GB" w:eastAsia="fr-FR"/>
        </w:rPr>
        <w:t>natural</w:t>
      </w:r>
      <w:r w:rsidR="00AE4BDD" w:rsidRPr="00404DA8">
        <w:rPr>
          <w:rFonts w:ascii="Garamond" w:eastAsia="Times New Roman" w:hAnsi="Garamond" w:cs="Times New Roman"/>
          <w:sz w:val="24"/>
          <w:szCs w:val="24"/>
          <w:lang w:val="en-GB" w:eastAsia="fr-FR"/>
        </w:rPr>
        <w:t>”, “exotic” or “</w:t>
      </w:r>
      <w:r w:rsidRPr="00404DA8">
        <w:rPr>
          <w:rFonts w:ascii="Garamond" w:eastAsia="Times New Roman" w:hAnsi="Garamond" w:cs="Times New Roman"/>
          <w:sz w:val="24"/>
          <w:szCs w:val="24"/>
          <w:lang w:val="en-GB" w:eastAsia="fr-FR"/>
        </w:rPr>
        <w:t>traditional</w:t>
      </w:r>
      <w:r w:rsidR="00AE4BDD" w:rsidRPr="00404DA8">
        <w:rPr>
          <w:rFonts w:ascii="Garamond" w:eastAsia="Times New Roman" w:hAnsi="Garamond" w:cs="Times New Roman"/>
          <w:sz w:val="24"/>
          <w:szCs w:val="24"/>
          <w:lang w:val="en-GB" w:eastAsia="fr-FR"/>
        </w:rPr>
        <w:t>”</w:t>
      </w:r>
      <w:r w:rsidRPr="00404DA8">
        <w:rPr>
          <w:rFonts w:ascii="Garamond" w:eastAsia="Times New Roman" w:hAnsi="Garamond" w:cs="Times New Roman"/>
          <w:sz w:val="24"/>
          <w:szCs w:val="24"/>
          <w:lang w:val="en-GB" w:eastAsia="fr-FR"/>
        </w:rPr>
        <w:t xml:space="preserve"> in European</w:t>
      </w:r>
      <w:r w:rsidR="00AE4BDD" w:rsidRPr="00404DA8">
        <w:rPr>
          <w:rFonts w:ascii="Garamond" w:eastAsia="Times New Roman" w:hAnsi="Garamond" w:cs="Times New Roman"/>
          <w:sz w:val="24"/>
          <w:szCs w:val="24"/>
          <w:lang w:val="en-GB" w:eastAsia="fr-FR"/>
        </w:rPr>
        <w:t xml:space="preserve"> (decision-makers)</w:t>
      </w:r>
      <w:r w:rsidRPr="00404DA8">
        <w:rPr>
          <w:rFonts w:ascii="Garamond" w:eastAsia="Times New Roman" w:hAnsi="Garamond" w:cs="Times New Roman"/>
          <w:sz w:val="24"/>
          <w:szCs w:val="24"/>
          <w:lang w:val="en-GB" w:eastAsia="fr-FR"/>
        </w:rPr>
        <w:t xml:space="preserve"> narratives, with modern dynamics erased or reset to zero upon the CEP's arrival. This view ignored pre-existing processes such as urban growth, wage </w:t>
      </w:r>
      <w:proofErr w:type="spellStart"/>
      <w:r w:rsidRPr="00404DA8">
        <w:rPr>
          <w:rFonts w:ascii="Garamond" w:eastAsia="Times New Roman" w:hAnsi="Garamond" w:cs="Times New Roman"/>
          <w:sz w:val="24"/>
          <w:szCs w:val="24"/>
          <w:lang w:val="en-GB" w:eastAsia="fr-FR"/>
        </w:rPr>
        <w:t>labor</w:t>
      </w:r>
      <w:proofErr w:type="spellEnd"/>
      <w:r w:rsidRPr="00404DA8">
        <w:rPr>
          <w:rFonts w:ascii="Garamond" w:eastAsia="Times New Roman" w:hAnsi="Garamond" w:cs="Times New Roman"/>
          <w:sz w:val="24"/>
          <w:szCs w:val="24"/>
          <w:lang w:val="en-GB" w:eastAsia="fr-FR"/>
        </w:rPr>
        <w:t>, and professional mobility linked to phosphate mining on Makatea</w:t>
      </w:r>
      <w:r w:rsidR="001B040F">
        <w:rPr>
          <w:rStyle w:val="Appelnotedebasdep"/>
        </w:rPr>
        <w:footnoteReference w:id="9"/>
      </w:r>
      <w:r w:rsidRPr="00404DA8">
        <w:rPr>
          <w:rFonts w:ascii="Garamond" w:eastAsia="Times New Roman" w:hAnsi="Garamond" w:cs="Times New Roman"/>
          <w:sz w:val="24"/>
          <w:szCs w:val="24"/>
          <w:lang w:val="en-GB" w:eastAsia="fr-FR"/>
        </w:rPr>
        <w:t>.</w:t>
      </w:r>
    </w:p>
    <w:p w14:paraId="4FE14B07" w14:textId="46E56A32" w:rsidR="00A7672C"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 xml:space="preserve">The concept of circulations offers a nuanced lens to understand the CEP's legacy. It moves beyond caricatures of change during this period without minimizing its impact. Circulation studies reflect a broader "mobility turn" in social sciences since the 2000s, challenging static views of social phenomena. </w:t>
      </w:r>
      <w:r w:rsidR="00A7672C" w:rsidRPr="00404DA8">
        <w:rPr>
          <w:rFonts w:ascii="Garamond" w:eastAsia="Times New Roman" w:hAnsi="Garamond" w:cs="Times New Roman"/>
          <w:sz w:val="24"/>
          <w:szCs w:val="24"/>
          <w:lang w:val="en-GB" w:eastAsia="fr-FR"/>
        </w:rPr>
        <w:t>The very act of speaking about circulations allows for a renewal of scientific discourse. In the humanities, the concept of a "mobility turn," emerging in the 2000s, has often been invoked</w:t>
      </w:r>
      <w:r w:rsidR="00FF7D48">
        <w:rPr>
          <w:rFonts w:ascii="Garamond" w:eastAsia="Times New Roman" w:hAnsi="Garamond" w:cs="Times New Roman"/>
          <w:sz w:val="24"/>
          <w:szCs w:val="24"/>
          <w:lang w:val="en-GB" w:eastAsia="fr-FR"/>
        </w:rPr>
        <w:t xml:space="preserve"> </w:t>
      </w:r>
      <w:r w:rsidR="00A7672C" w:rsidRPr="00404DA8">
        <w:rPr>
          <w:rFonts w:ascii="Garamond" w:eastAsia="Times New Roman" w:hAnsi="Garamond" w:cs="Times New Roman"/>
          <w:sz w:val="24"/>
          <w:szCs w:val="24"/>
          <w:lang w:val="en-GB" w:eastAsia="fr-FR"/>
        </w:rPr>
        <w:t>to challenge fixed and static approaches to social phenomena. Within this mobility turn, the circulatory approach was developed to replace the migratory framework and the notion of transfers, both of which tend to envision flows as linear and unidirectional, moving from point A to point B. Such frameworks fail to account for the maintenance of ties with the territory of origin, let alone the implementation of more complex mobility patterns that involve other spaces, return effects, or back-and-forth movements</w:t>
      </w:r>
      <w:r w:rsidR="00F02FAA">
        <w:rPr>
          <w:rStyle w:val="Appelnotedebasdep"/>
        </w:rPr>
        <w:footnoteReference w:id="10"/>
      </w:r>
      <w:r w:rsidR="00A7672C" w:rsidRPr="00404DA8">
        <w:rPr>
          <w:rFonts w:ascii="Garamond" w:eastAsia="Times New Roman" w:hAnsi="Garamond" w:cs="Times New Roman"/>
          <w:sz w:val="24"/>
          <w:szCs w:val="24"/>
          <w:lang w:val="en-GB" w:eastAsia="fr-FR"/>
        </w:rPr>
        <w:t>. This approach to flows thus been criticized for fostering certain forms of dramatization—raising concerns, for instance, about the capacity of so-called host territories to absorb these flows, or fears of uprooting and disconnection from original spaces.</w:t>
      </w:r>
    </w:p>
    <w:p w14:paraId="11083964" w14:textId="7777777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lastRenderedPageBreak/>
        <w:t xml:space="preserve">In the context of the CEP, circulations were often viewed as one-directional projections of continental France onto French Polynesia. For instance, European personnel's mobility was designed to be temporary, whereas Polynesian internal mobility was interpreted through rural exodus models without questioning their applicability. Some scholars offered more nuanced analyses, </w:t>
      </w:r>
      <w:r w:rsidR="00404DA8" w:rsidRPr="00404DA8">
        <w:rPr>
          <w:rFonts w:ascii="Garamond" w:eastAsia="Times New Roman" w:hAnsi="Garamond" w:cs="Times New Roman"/>
          <w:sz w:val="24"/>
          <w:szCs w:val="24"/>
          <w:lang w:val="en-GB" w:eastAsia="fr-FR"/>
        </w:rPr>
        <w:t>taking returns into account</w:t>
      </w:r>
      <w:r w:rsidRPr="00404DA8">
        <w:rPr>
          <w:rFonts w:ascii="Garamond" w:eastAsia="Times New Roman" w:hAnsi="Garamond" w:cs="Times New Roman"/>
          <w:sz w:val="24"/>
          <w:szCs w:val="24"/>
          <w:lang w:val="en-GB" w:eastAsia="fr-FR"/>
        </w:rPr>
        <w:t>, though these were often reduced to push-pull migration models</w:t>
      </w:r>
      <w:r w:rsidR="00404DA8" w:rsidRPr="00404DA8">
        <w:rPr>
          <w:rFonts w:ascii="Garamond" w:eastAsia="Times New Roman" w:hAnsi="Garamond" w:cs="Times New Roman"/>
          <w:sz w:val="24"/>
          <w:szCs w:val="24"/>
          <w:lang w:val="en-GB" w:eastAsia="fr-FR"/>
        </w:rPr>
        <w:t xml:space="preserve"> and hide a more complex agency among Polynesian. Scientific and technological transfers, but especially the flow of materials and other consumer goods, appear as the counterpart to the experiments, which, while being deplored for their effects, remain associated with the flattering idea of modernization. This new name for the civilizing mission is no longer seen as a duty but as inevitable and, nonetheless, desirable in order to avoid falling behind.</w:t>
      </w:r>
    </w:p>
    <w:p w14:paraId="038E6FBF" w14:textId="7777777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eastAsia="fr-FR"/>
        </w:rPr>
      </w:pPr>
      <w:r w:rsidRPr="00404DA8">
        <w:rPr>
          <w:rFonts w:ascii="Garamond" w:eastAsia="Times New Roman" w:hAnsi="Garamond" w:cs="Times New Roman"/>
          <w:b/>
          <w:bCs/>
          <w:sz w:val="24"/>
          <w:szCs w:val="24"/>
          <w:lang w:eastAsia="fr-FR"/>
        </w:rPr>
        <w:t>Four Types of Circulations</w:t>
      </w:r>
    </w:p>
    <w:p w14:paraId="0A61B1A1" w14:textId="77777777" w:rsidR="009354F2" w:rsidRPr="00404DA8" w:rsidRDefault="009354F2" w:rsidP="002C42F3">
      <w:pPr>
        <w:numPr>
          <w:ilvl w:val="0"/>
          <w:numId w:val="2"/>
        </w:num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b/>
          <w:bCs/>
          <w:sz w:val="24"/>
          <w:szCs w:val="24"/>
          <w:lang w:val="en-GB" w:eastAsia="fr-FR"/>
        </w:rPr>
        <w:t>Polynesian Families</w:t>
      </w:r>
      <w:r w:rsidRPr="00404DA8">
        <w:rPr>
          <w:rFonts w:ascii="Garamond" w:eastAsia="Times New Roman" w:hAnsi="Garamond" w:cs="Times New Roman"/>
          <w:sz w:val="24"/>
          <w:szCs w:val="24"/>
          <w:lang w:val="en-GB" w:eastAsia="fr-FR"/>
        </w:rPr>
        <w:t>: From individual to family group scales, decisions about relocation corresponded to life stages, involving back-and-forth movements across territories.</w:t>
      </w:r>
    </w:p>
    <w:p w14:paraId="60E82CA7" w14:textId="77777777" w:rsidR="009354F2" w:rsidRPr="00404DA8" w:rsidRDefault="009354F2" w:rsidP="002C42F3">
      <w:pPr>
        <w:numPr>
          <w:ilvl w:val="0"/>
          <w:numId w:val="2"/>
        </w:num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b/>
          <w:bCs/>
          <w:sz w:val="24"/>
          <w:szCs w:val="24"/>
          <w:lang w:val="en-GB" w:eastAsia="fr-FR"/>
        </w:rPr>
        <w:t>Non-Human Living Beings</w:t>
      </w:r>
      <w:r w:rsidRPr="00404DA8">
        <w:rPr>
          <w:rFonts w:ascii="Garamond" w:eastAsia="Times New Roman" w:hAnsi="Garamond" w:cs="Times New Roman"/>
          <w:sz w:val="24"/>
          <w:szCs w:val="24"/>
          <w:lang w:val="en-GB" w:eastAsia="fr-FR"/>
        </w:rPr>
        <w:t>: Circulations linked to the CEP also impacted non-human life. While species movement preceded the CEP, nuclear tests played a direct role in such dynamics within the context of globalized integration.</w:t>
      </w:r>
    </w:p>
    <w:p w14:paraId="4605E13A" w14:textId="77777777" w:rsidR="009354F2" w:rsidRPr="00404DA8" w:rsidRDefault="009354F2" w:rsidP="002C42F3">
      <w:pPr>
        <w:numPr>
          <w:ilvl w:val="0"/>
          <w:numId w:val="2"/>
        </w:num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b/>
          <w:bCs/>
          <w:sz w:val="24"/>
          <w:szCs w:val="24"/>
          <w:lang w:val="en-GB" w:eastAsia="fr-FR"/>
        </w:rPr>
        <w:t>Technical and Productive Systems</w:t>
      </w:r>
      <w:r w:rsidRPr="00404DA8">
        <w:rPr>
          <w:rFonts w:ascii="Garamond" w:eastAsia="Times New Roman" w:hAnsi="Garamond" w:cs="Times New Roman"/>
          <w:sz w:val="24"/>
          <w:szCs w:val="24"/>
          <w:lang w:val="en-GB" w:eastAsia="fr-FR"/>
        </w:rPr>
        <w:t>: Accelerated flows of materials, goods, and capital transcended diffusionist models (Europe exporting, Polynesia receiving). This included local actors' roles, adaptations, resistances, and Pacific-specific flows.</w:t>
      </w:r>
    </w:p>
    <w:p w14:paraId="6A9E50C0" w14:textId="77777777" w:rsidR="009354F2" w:rsidRPr="00404DA8" w:rsidRDefault="009354F2" w:rsidP="002C42F3">
      <w:pPr>
        <w:numPr>
          <w:ilvl w:val="0"/>
          <w:numId w:val="2"/>
        </w:num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b/>
          <w:bCs/>
          <w:sz w:val="24"/>
          <w:szCs w:val="24"/>
          <w:lang w:val="en-GB" w:eastAsia="fr-FR"/>
        </w:rPr>
        <w:t>Ideas, Knowledge, and Beliefs</w:t>
      </w:r>
      <w:r w:rsidRPr="00404DA8">
        <w:rPr>
          <w:rFonts w:ascii="Garamond" w:eastAsia="Times New Roman" w:hAnsi="Garamond" w:cs="Times New Roman"/>
          <w:sz w:val="24"/>
          <w:szCs w:val="24"/>
          <w:lang w:val="en-GB" w:eastAsia="fr-FR"/>
        </w:rPr>
        <w:t>: Intersections between the CEP's modernization project and cultural renaissances, as well as the networking of anti-nuclear movements across sites, merit exploration.</w:t>
      </w:r>
    </w:p>
    <w:p w14:paraId="568CB80E" w14:textId="77777777" w:rsidR="00404DA8" w:rsidRDefault="009354F2" w:rsidP="002C42F3">
      <w:pPr>
        <w:spacing w:before="100" w:beforeAutospacing="1" w:after="100" w:afterAutospacing="1" w:line="240" w:lineRule="auto"/>
        <w:jc w:val="both"/>
        <w:rPr>
          <w:rFonts w:ascii="Garamond" w:eastAsia="Times New Roman" w:hAnsi="Garamond" w:cs="Times New Roman"/>
          <w:b/>
          <w:bCs/>
          <w:sz w:val="24"/>
          <w:szCs w:val="24"/>
          <w:lang w:val="en-GB" w:eastAsia="fr-FR"/>
        </w:rPr>
      </w:pPr>
      <w:r w:rsidRPr="00404DA8">
        <w:rPr>
          <w:rFonts w:ascii="Garamond" w:eastAsia="Times New Roman" w:hAnsi="Garamond" w:cs="Times New Roman"/>
          <w:b/>
          <w:bCs/>
          <w:sz w:val="24"/>
          <w:szCs w:val="24"/>
          <w:lang w:val="en-GB" w:eastAsia="fr-FR"/>
        </w:rPr>
        <w:t>Submission Details</w:t>
      </w:r>
    </w:p>
    <w:p w14:paraId="6F7DD6E9" w14:textId="7777777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r w:rsidRPr="00404DA8">
        <w:rPr>
          <w:rFonts w:ascii="Garamond" w:eastAsia="Times New Roman" w:hAnsi="Garamond" w:cs="Times New Roman"/>
          <w:sz w:val="24"/>
          <w:szCs w:val="24"/>
          <w:lang w:val="en-GB" w:eastAsia="fr-FR"/>
        </w:rPr>
        <w:t xml:space="preserve">Proposals should be submitted by </w:t>
      </w:r>
      <w:r w:rsidRPr="00404DA8">
        <w:rPr>
          <w:rFonts w:ascii="Garamond" w:eastAsia="Times New Roman" w:hAnsi="Garamond" w:cs="Times New Roman"/>
          <w:b/>
          <w:bCs/>
          <w:sz w:val="24"/>
          <w:szCs w:val="24"/>
          <w:lang w:val="en-GB" w:eastAsia="fr-FR"/>
        </w:rPr>
        <w:t>February 15, 2025</w:t>
      </w:r>
      <w:r w:rsidRPr="00404DA8">
        <w:rPr>
          <w:rFonts w:ascii="Garamond" w:eastAsia="Times New Roman" w:hAnsi="Garamond" w:cs="Times New Roman"/>
          <w:sz w:val="24"/>
          <w:szCs w:val="24"/>
          <w:lang w:val="en-GB" w:eastAsia="fr-FR"/>
        </w:rPr>
        <w:t xml:space="preserve"> (including a one-page abstract and short bio-bibliographic profile).</w:t>
      </w:r>
    </w:p>
    <w:p w14:paraId="49AAA314" w14:textId="77777777" w:rsidR="00404DA8" w:rsidRDefault="009354F2" w:rsidP="002C42F3">
      <w:pPr>
        <w:spacing w:before="100" w:beforeAutospacing="1" w:after="100" w:afterAutospacing="1" w:line="240" w:lineRule="auto"/>
        <w:jc w:val="both"/>
        <w:rPr>
          <w:rFonts w:ascii="Garamond" w:eastAsia="Times New Roman" w:hAnsi="Garamond" w:cs="Times New Roman"/>
          <w:b/>
          <w:bCs/>
          <w:sz w:val="24"/>
          <w:szCs w:val="24"/>
          <w:lang w:val="en-GB" w:eastAsia="fr-FR"/>
        </w:rPr>
      </w:pPr>
      <w:r w:rsidRPr="00404DA8">
        <w:rPr>
          <w:rFonts w:ascii="Garamond" w:eastAsia="Times New Roman" w:hAnsi="Garamond" w:cs="Times New Roman"/>
          <w:b/>
          <w:bCs/>
          <w:sz w:val="24"/>
          <w:szCs w:val="24"/>
          <w:lang w:val="en-GB" w:eastAsia="fr-FR"/>
        </w:rPr>
        <w:t>Organizing Committee</w:t>
      </w:r>
    </w:p>
    <w:p w14:paraId="323F089D" w14:textId="77777777" w:rsidR="009354F2" w:rsidRPr="00404DA8" w:rsidRDefault="009354F2" w:rsidP="002C42F3">
      <w:pPr>
        <w:spacing w:before="100" w:beforeAutospacing="1" w:after="100" w:afterAutospacing="1" w:line="240" w:lineRule="auto"/>
        <w:jc w:val="both"/>
        <w:rPr>
          <w:rFonts w:ascii="Garamond" w:eastAsia="Times New Roman" w:hAnsi="Garamond" w:cs="Times New Roman"/>
          <w:sz w:val="24"/>
          <w:szCs w:val="24"/>
          <w:lang w:val="en-GB" w:eastAsia="fr-FR"/>
        </w:rPr>
      </w:pPr>
      <w:proofErr w:type="spellStart"/>
      <w:r w:rsidRPr="00404DA8">
        <w:rPr>
          <w:rFonts w:ascii="Garamond" w:eastAsia="Times New Roman" w:hAnsi="Garamond" w:cs="Times New Roman"/>
          <w:sz w:val="24"/>
          <w:szCs w:val="24"/>
          <w:lang w:val="en-GB" w:eastAsia="fr-FR"/>
        </w:rPr>
        <w:t>Régis</w:t>
      </w:r>
      <w:proofErr w:type="spellEnd"/>
      <w:r w:rsidRPr="00404DA8">
        <w:rPr>
          <w:rFonts w:ascii="Garamond" w:eastAsia="Times New Roman" w:hAnsi="Garamond" w:cs="Times New Roman"/>
          <w:sz w:val="24"/>
          <w:szCs w:val="24"/>
          <w:lang w:val="en-GB" w:eastAsia="fr-FR"/>
        </w:rPr>
        <w:t xml:space="preserve"> </w:t>
      </w:r>
      <w:proofErr w:type="spellStart"/>
      <w:r w:rsidRPr="00404DA8">
        <w:rPr>
          <w:rFonts w:ascii="Garamond" w:eastAsia="Times New Roman" w:hAnsi="Garamond" w:cs="Times New Roman"/>
          <w:sz w:val="24"/>
          <w:szCs w:val="24"/>
          <w:lang w:val="en-GB" w:eastAsia="fr-FR"/>
        </w:rPr>
        <w:t>Boulat</w:t>
      </w:r>
      <w:proofErr w:type="spellEnd"/>
      <w:r w:rsidRPr="00404DA8">
        <w:rPr>
          <w:rFonts w:ascii="Garamond" w:eastAsia="Times New Roman" w:hAnsi="Garamond" w:cs="Times New Roman"/>
          <w:sz w:val="24"/>
          <w:szCs w:val="24"/>
          <w:lang w:val="en-GB" w:eastAsia="fr-FR"/>
        </w:rPr>
        <w:t xml:space="preserve"> (UHA), Benjamin </w:t>
      </w:r>
      <w:proofErr w:type="spellStart"/>
      <w:r w:rsidRPr="00404DA8">
        <w:rPr>
          <w:rFonts w:ascii="Garamond" w:eastAsia="Times New Roman" w:hAnsi="Garamond" w:cs="Times New Roman"/>
          <w:sz w:val="24"/>
          <w:szCs w:val="24"/>
          <w:lang w:val="en-GB" w:eastAsia="fr-FR"/>
        </w:rPr>
        <w:t>Furst</w:t>
      </w:r>
      <w:proofErr w:type="spellEnd"/>
      <w:r w:rsidRPr="00404DA8">
        <w:rPr>
          <w:rFonts w:ascii="Garamond" w:eastAsia="Times New Roman" w:hAnsi="Garamond" w:cs="Times New Roman"/>
          <w:sz w:val="24"/>
          <w:szCs w:val="24"/>
          <w:lang w:val="en-GB" w:eastAsia="fr-FR"/>
        </w:rPr>
        <w:t xml:space="preserve"> (UHA), Renaud Meltz (MSH-P), Florence </w:t>
      </w:r>
      <w:proofErr w:type="spellStart"/>
      <w:r w:rsidRPr="00404DA8">
        <w:rPr>
          <w:rFonts w:ascii="Garamond" w:eastAsia="Times New Roman" w:hAnsi="Garamond" w:cs="Times New Roman"/>
          <w:sz w:val="24"/>
          <w:szCs w:val="24"/>
          <w:lang w:val="en-GB" w:eastAsia="fr-FR"/>
        </w:rPr>
        <w:t>Mury</w:t>
      </w:r>
      <w:proofErr w:type="spellEnd"/>
      <w:r w:rsidRPr="00404DA8">
        <w:rPr>
          <w:rFonts w:ascii="Garamond" w:eastAsia="Times New Roman" w:hAnsi="Garamond" w:cs="Times New Roman"/>
          <w:sz w:val="24"/>
          <w:szCs w:val="24"/>
          <w:lang w:val="en-GB" w:eastAsia="fr-FR"/>
        </w:rPr>
        <w:t xml:space="preserve"> (MSH-P), </w:t>
      </w:r>
      <w:proofErr w:type="spellStart"/>
      <w:r w:rsidRPr="00404DA8">
        <w:rPr>
          <w:rFonts w:ascii="Garamond" w:eastAsia="Times New Roman" w:hAnsi="Garamond" w:cs="Times New Roman"/>
          <w:sz w:val="24"/>
          <w:szCs w:val="24"/>
          <w:lang w:val="en-GB" w:eastAsia="fr-FR"/>
        </w:rPr>
        <w:t>Manatea</w:t>
      </w:r>
      <w:proofErr w:type="spellEnd"/>
      <w:r w:rsidRPr="00404DA8">
        <w:rPr>
          <w:rFonts w:ascii="Garamond" w:eastAsia="Times New Roman" w:hAnsi="Garamond" w:cs="Times New Roman"/>
          <w:sz w:val="24"/>
          <w:szCs w:val="24"/>
          <w:lang w:val="en-GB" w:eastAsia="fr-FR"/>
        </w:rPr>
        <w:t xml:space="preserve"> </w:t>
      </w:r>
      <w:proofErr w:type="spellStart"/>
      <w:r w:rsidRPr="00404DA8">
        <w:rPr>
          <w:rFonts w:ascii="Garamond" w:eastAsia="Times New Roman" w:hAnsi="Garamond" w:cs="Times New Roman"/>
          <w:sz w:val="24"/>
          <w:szCs w:val="24"/>
          <w:lang w:val="en-GB" w:eastAsia="fr-FR"/>
        </w:rPr>
        <w:t>Taiarui</w:t>
      </w:r>
      <w:proofErr w:type="spellEnd"/>
      <w:r w:rsidRPr="00404DA8">
        <w:rPr>
          <w:rFonts w:ascii="Garamond" w:eastAsia="Times New Roman" w:hAnsi="Garamond" w:cs="Times New Roman"/>
          <w:sz w:val="24"/>
          <w:szCs w:val="24"/>
          <w:lang w:val="en-GB" w:eastAsia="fr-FR"/>
        </w:rPr>
        <w:t xml:space="preserve"> (MSH-P).</w:t>
      </w:r>
    </w:p>
    <w:p w14:paraId="373A3A6A" w14:textId="77777777" w:rsidR="009354F2" w:rsidRPr="00404DA8" w:rsidRDefault="00404DA8" w:rsidP="002C42F3">
      <w:pPr>
        <w:jc w:val="both"/>
        <w:rPr>
          <w:rFonts w:ascii="Garamond" w:hAnsi="Garamond"/>
          <w:b/>
          <w:lang w:val="en-GB"/>
        </w:rPr>
      </w:pPr>
      <w:r w:rsidRPr="00404DA8">
        <w:rPr>
          <w:rFonts w:ascii="Garamond" w:hAnsi="Garamond"/>
          <w:b/>
          <w:lang w:val="en-GB"/>
        </w:rPr>
        <w:t>Scientific Committee</w:t>
      </w:r>
    </w:p>
    <w:p w14:paraId="4FDFC402" w14:textId="1776170B" w:rsidR="00404DA8" w:rsidRPr="00404DA8" w:rsidRDefault="00404DA8" w:rsidP="002C42F3">
      <w:pPr>
        <w:jc w:val="both"/>
        <w:rPr>
          <w:rFonts w:ascii="Garamond" w:hAnsi="Garamond"/>
          <w:lang w:val="en-GB"/>
        </w:rPr>
      </w:pPr>
      <w:r w:rsidRPr="00404DA8">
        <w:rPr>
          <w:rFonts w:ascii="Garamond" w:hAnsi="Garamond"/>
          <w:lang w:val="en-GB"/>
        </w:rPr>
        <w:t>Sarah Bernard (</w:t>
      </w:r>
      <w:r w:rsidR="00B24007">
        <w:rPr>
          <w:rFonts w:ascii="Garamond" w:hAnsi="Garamond"/>
          <w:lang w:val="en-GB"/>
        </w:rPr>
        <w:t>UPPA</w:t>
      </w:r>
      <w:r w:rsidRPr="00404DA8">
        <w:rPr>
          <w:rFonts w:ascii="Garamond" w:hAnsi="Garamond"/>
          <w:lang w:val="en-GB"/>
        </w:rPr>
        <w:t>), Yves Bouvier (</w:t>
      </w:r>
      <w:r w:rsidR="00B24007">
        <w:rPr>
          <w:rFonts w:ascii="Garamond" w:hAnsi="Garamond"/>
          <w:lang w:val="en-GB"/>
        </w:rPr>
        <w:t xml:space="preserve">Université de </w:t>
      </w:r>
      <w:r w:rsidRPr="00404DA8">
        <w:rPr>
          <w:rFonts w:ascii="Garamond" w:hAnsi="Garamond"/>
          <w:lang w:val="en-GB"/>
        </w:rPr>
        <w:t xml:space="preserve">Rouen), Marie </w:t>
      </w:r>
      <w:proofErr w:type="spellStart"/>
      <w:r w:rsidRPr="00404DA8">
        <w:rPr>
          <w:rFonts w:ascii="Garamond" w:hAnsi="Garamond"/>
          <w:lang w:val="en-GB"/>
        </w:rPr>
        <w:t>Brualla</w:t>
      </w:r>
      <w:proofErr w:type="spellEnd"/>
      <w:r w:rsidRPr="00404DA8">
        <w:rPr>
          <w:rFonts w:ascii="Garamond" w:hAnsi="Garamond"/>
          <w:lang w:val="en-GB"/>
        </w:rPr>
        <w:t xml:space="preserve"> (</w:t>
      </w:r>
      <w:r w:rsidR="00B24007">
        <w:rPr>
          <w:rFonts w:ascii="Garamond" w:hAnsi="Garamond"/>
          <w:lang w:val="en-GB"/>
        </w:rPr>
        <w:t>UPV</w:t>
      </w:r>
      <w:r w:rsidRPr="00404DA8">
        <w:rPr>
          <w:rFonts w:ascii="Garamond" w:hAnsi="Garamond"/>
          <w:lang w:val="en-GB"/>
        </w:rPr>
        <w:t xml:space="preserve">), Antoine </w:t>
      </w:r>
      <w:proofErr w:type="spellStart"/>
      <w:r w:rsidRPr="00404DA8">
        <w:rPr>
          <w:rFonts w:ascii="Garamond" w:hAnsi="Garamond"/>
          <w:lang w:val="en-GB"/>
        </w:rPr>
        <w:t>Burgard</w:t>
      </w:r>
      <w:proofErr w:type="spellEnd"/>
      <w:r w:rsidRPr="00404DA8">
        <w:rPr>
          <w:rFonts w:ascii="Garamond" w:hAnsi="Garamond"/>
          <w:lang w:val="en-GB"/>
        </w:rPr>
        <w:t xml:space="preserve"> (</w:t>
      </w:r>
      <w:r w:rsidR="00B24007">
        <w:rPr>
          <w:rFonts w:ascii="Garamond" w:hAnsi="Garamond"/>
          <w:lang w:val="en-GB"/>
        </w:rPr>
        <w:t xml:space="preserve">University of </w:t>
      </w:r>
      <w:r w:rsidRPr="00404DA8">
        <w:rPr>
          <w:rFonts w:ascii="Garamond" w:hAnsi="Garamond"/>
          <w:lang w:val="en-GB"/>
        </w:rPr>
        <w:t>Manchester), Patrick Chardon (</w:t>
      </w:r>
      <w:r w:rsidR="00B24007">
        <w:rPr>
          <w:rFonts w:ascii="Garamond" w:hAnsi="Garamond"/>
          <w:lang w:val="en-GB"/>
        </w:rPr>
        <w:t xml:space="preserve">Université </w:t>
      </w:r>
      <w:r w:rsidRPr="00404DA8">
        <w:rPr>
          <w:rFonts w:ascii="Garamond" w:hAnsi="Garamond"/>
          <w:lang w:val="en-GB"/>
        </w:rPr>
        <w:t>Clermont</w:t>
      </w:r>
      <w:r w:rsidR="00B24007">
        <w:rPr>
          <w:rFonts w:ascii="Garamond" w:hAnsi="Garamond"/>
          <w:lang w:val="en-GB"/>
        </w:rPr>
        <w:t xml:space="preserve"> Auvergne</w:t>
      </w:r>
      <w:r w:rsidRPr="00404DA8">
        <w:rPr>
          <w:rFonts w:ascii="Garamond" w:hAnsi="Garamond"/>
          <w:lang w:val="en-GB"/>
        </w:rPr>
        <w:t xml:space="preserve">), Quentin </w:t>
      </w:r>
      <w:proofErr w:type="spellStart"/>
      <w:r w:rsidRPr="00404DA8">
        <w:rPr>
          <w:rFonts w:ascii="Garamond" w:hAnsi="Garamond"/>
          <w:lang w:val="en-GB"/>
        </w:rPr>
        <w:t>Comminsoli</w:t>
      </w:r>
      <w:proofErr w:type="spellEnd"/>
      <w:r w:rsidRPr="00404DA8">
        <w:rPr>
          <w:rFonts w:ascii="Garamond" w:hAnsi="Garamond"/>
          <w:lang w:val="en-GB"/>
        </w:rPr>
        <w:t xml:space="preserve"> (IEP Aix), Victoria </w:t>
      </w:r>
      <w:proofErr w:type="spellStart"/>
      <w:r w:rsidRPr="00404DA8">
        <w:rPr>
          <w:rFonts w:ascii="Garamond" w:hAnsi="Garamond"/>
          <w:lang w:val="en-GB"/>
        </w:rPr>
        <w:t>Devars</w:t>
      </w:r>
      <w:proofErr w:type="spellEnd"/>
      <w:r w:rsidRPr="00404DA8">
        <w:rPr>
          <w:rFonts w:ascii="Garamond" w:hAnsi="Garamond"/>
          <w:lang w:val="en-GB"/>
        </w:rPr>
        <w:t xml:space="preserve"> (</w:t>
      </w:r>
      <w:r w:rsidR="00B24007">
        <w:rPr>
          <w:rFonts w:ascii="Garamond" w:hAnsi="Garamond"/>
          <w:lang w:val="en-GB"/>
        </w:rPr>
        <w:t xml:space="preserve">University of </w:t>
      </w:r>
      <w:r w:rsidRPr="00404DA8">
        <w:rPr>
          <w:rFonts w:ascii="Garamond" w:hAnsi="Garamond"/>
          <w:lang w:val="en-GB"/>
        </w:rPr>
        <w:t xml:space="preserve">Oxford), Mililani </w:t>
      </w:r>
      <w:proofErr w:type="spellStart"/>
      <w:r w:rsidRPr="00404DA8">
        <w:rPr>
          <w:rFonts w:ascii="Garamond" w:hAnsi="Garamond"/>
          <w:lang w:val="en-GB"/>
        </w:rPr>
        <w:t>Ganivet</w:t>
      </w:r>
      <w:proofErr w:type="spellEnd"/>
      <w:r w:rsidRPr="00404DA8">
        <w:rPr>
          <w:rFonts w:ascii="Garamond" w:hAnsi="Garamond"/>
          <w:lang w:val="en-GB"/>
        </w:rPr>
        <w:t xml:space="preserve"> (British Museum), </w:t>
      </w:r>
      <w:proofErr w:type="spellStart"/>
      <w:r w:rsidRPr="00404DA8">
        <w:rPr>
          <w:rFonts w:ascii="Garamond" w:hAnsi="Garamond"/>
          <w:lang w:val="en-GB"/>
        </w:rPr>
        <w:t>Géraldine</w:t>
      </w:r>
      <w:proofErr w:type="spellEnd"/>
      <w:r w:rsidRPr="00404DA8">
        <w:rPr>
          <w:rFonts w:ascii="Garamond" w:hAnsi="Garamond"/>
          <w:lang w:val="en-GB"/>
        </w:rPr>
        <w:t xml:space="preserve"> </w:t>
      </w:r>
      <w:proofErr w:type="spellStart"/>
      <w:r w:rsidRPr="00404DA8">
        <w:rPr>
          <w:rFonts w:ascii="Garamond" w:hAnsi="Garamond"/>
          <w:lang w:val="en-GB"/>
        </w:rPr>
        <w:t>Giraudeau</w:t>
      </w:r>
      <w:proofErr w:type="spellEnd"/>
      <w:r w:rsidRPr="00404DA8">
        <w:rPr>
          <w:rFonts w:ascii="Garamond" w:hAnsi="Garamond"/>
          <w:lang w:val="en-GB"/>
        </w:rPr>
        <w:t xml:space="preserve"> (</w:t>
      </w:r>
      <w:proofErr w:type="spellStart"/>
      <w:r w:rsidRPr="00404DA8">
        <w:rPr>
          <w:rFonts w:ascii="Garamond" w:hAnsi="Garamond"/>
          <w:lang w:val="en-GB"/>
        </w:rPr>
        <w:t>Saclay</w:t>
      </w:r>
      <w:proofErr w:type="spellEnd"/>
      <w:r w:rsidRPr="00404DA8">
        <w:rPr>
          <w:rFonts w:ascii="Garamond" w:hAnsi="Garamond"/>
          <w:lang w:val="en-GB"/>
        </w:rPr>
        <w:t xml:space="preserve">-IUF), Masatoshi Inoue (EHESS), Maxime Launay (IRSEM), Stéphane </w:t>
      </w:r>
      <w:proofErr w:type="spellStart"/>
      <w:r w:rsidRPr="00404DA8">
        <w:rPr>
          <w:rFonts w:ascii="Garamond" w:hAnsi="Garamond"/>
          <w:lang w:val="en-GB"/>
        </w:rPr>
        <w:t>Launey</w:t>
      </w:r>
      <w:proofErr w:type="spellEnd"/>
      <w:r w:rsidRPr="00404DA8">
        <w:rPr>
          <w:rFonts w:ascii="Garamond" w:hAnsi="Garamond"/>
          <w:lang w:val="en-GB"/>
        </w:rPr>
        <w:t xml:space="preserve"> (CRESAT), </w:t>
      </w:r>
      <w:proofErr w:type="spellStart"/>
      <w:r w:rsidRPr="00404DA8">
        <w:rPr>
          <w:rFonts w:ascii="Garamond" w:hAnsi="Garamond"/>
          <w:lang w:val="en-GB"/>
        </w:rPr>
        <w:t>Noémie</w:t>
      </w:r>
      <w:proofErr w:type="spellEnd"/>
      <w:r w:rsidRPr="00404DA8">
        <w:rPr>
          <w:rFonts w:ascii="Garamond" w:hAnsi="Garamond"/>
          <w:lang w:val="en-GB"/>
        </w:rPr>
        <w:t xml:space="preserve"> Marques-</w:t>
      </w:r>
      <w:proofErr w:type="spellStart"/>
      <w:r w:rsidRPr="00404DA8">
        <w:rPr>
          <w:rFonts w:ascii="Garamond" w:hAnsi="Garamond"/>
          <w:lang w:val="en-GB"/>
        </w:rPr>
        <w:t>Verhille</w:t>
      </w:r>
      <w:proofErr w:type="spellEnd"/>
      <w:r w:rsidRPr="00404DA8">
        <w:rPr>
          <w:rFonts w:ascii="Garamond" w:hAnsi="Garamond"/>
          <w:lang w:val="en-GB"/>
        </w:rPr>
        <w:t xml:space="preserve"> (Bordeaux Montaigne), Teva Meyer (UHA), Sarah Mohamed-Gaillard (INALCO), Benoit Pouget (IEP Aix), Marcello </w:t>
      </w:r>
      <w:proofErr w:type="spellStart"/>
      <w:r w:rsidRPr="00404DA8">
        <w:rPr>
          <w:rFonts w:ascii="Garamond" w:hAnsi="Garamond"/>
          <w:lang w:val="en-GB"/>
        </w:rPr>
        <w:t>Putor</w:t>
      </w:r>
      <w:r w:rsidR="00B24007" w:rsidRPr="00404DA8">
        <w:rPr>
          <w:rFonts w:ascii="Garamond" w:hAnsi="Garamond"/>
          <w:lang w:val="en-GB"/>
        </w:rPr>
        <w:t>t</w:t>
      </w:r>
      <w:r w:rsidR="00B24007">
        <w:rPr>
          <w:rFonts w:ascii="Calibri" w:hAnsi="Calibri" w:cs="Calibri"/>
          <w:lang w:val="en-GB"/>
        </w:rPr>
        <w:t>ì</w:t>
      </w:r>
      <w:proofErr w:type="spellEnd"/>
      <w:r w:rsidR="00B24007" w:rsidRPr="00404DA8">
        <w:rPr>
          <w:rFonts w:ascii="Garamond" w:hAnsi="Garamond"/>
          <w:lang w:val="en-GB"/>
        </w:rPr>
        <w:t xml:space="preserve"> </w:t>
      </w:r>
      <w:r w:rsidRPr="00404DA8">
        <w:rPr>
          <w:rFonts w:ascii="Garamond" w:hAnsi="Garamond"/>
          <w:lang w:val="en-GB"/>
        </w:rPr>
        <w:t xml:space="preserve">(UHA), Marie </w:t>
      </w:r>
      <w:proofErr w:type="spellStart"/>
      <w:r w:rsidRPr="00404DA8">
        <w:rPr>
          <w:rFonts w:ascii="Garamond" w:hAnsi="Garamond"/>
          <w:lang w:val="en-GB"/>
        </w:rPr>
        <w:t>Sala</w:t>
      </w:r>
      <w:r w:rsidR="00B24007">
        <w:rPr>
          <w:rFonts w:ascii="Garamond" w:hAnsi="Garamond"/>
          <w:lang w:val="en-GB"/>
        </w:rPr>
        <w:t>ü</w:t>
      </w:r>
      <w:r w:rsidRPr="00404DA8">
        <w:rPr>
          <w:rFonts w:ascii="Garamond" w:hAnsi="Garamond"/>
          <w:lang w:val="en-GB"/>
        </w:rPr>
        <w:t>n</w:t>
      </w:r>
      <w:proofErr w:type="spellEnd"/>
      <w:r w:rsidRPr="00404DA8">
        <w:rPr>
          <w:rFonts w:ascii="Garamond" w:hAnsi="Garamond"/>
          <w:lang w:val="en-GB"/>
        </w:rPr>
        <w:t xml:space="preserve"> (Paris Cité), Marianna Scarfone (Strasbourg IUF), Jacques </w:t>
      </w:r>
      <w:proofErr w:type="spellStart"/>
      <w:r w:rsidRPr="00404DA8">
        <w:rPr>
          <w:rFonts w:ascii="Garamond" w:hAnsi="Garamond"/>
          <w:lang w:val="en-GB"/>
        </w:rPr>
        <w:t>Vernaudon</w:t>
      </w:r>
      <w:proofErr w:type="spellEnd"/>
      <w:r w:rsidRPr="00404DA8">
        <w:rPr>
          <w:rFonts w:ascii="Garamond" w:hAnsi="Garamond"/>
          <w:lang w:val="en-GB"/>
        </w:rPr>
        <w:t xml:space="preserve"> (UPF).</w:t>
      </w:r>
    </w:p>
    <w:sectPr w:rsidR="00404DA8" w:rsidRPr="00404DA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Hill" w:date="2024-12-03T14:24:00Z" w:initials="CH">
    <w:p w14:paraId="38818BB2" w14:textId="77777777" w:rsidR="007F3F33" w:rsidRPr="00C93E78" w:rsidRDefault="007F3F33" w:rsidP="007F3F33">
      <w:pPr>
        <w:rPr>
          <w:lang w:val="en-GB"/>
        </w:rPr>
      </w:pPr>
      <w:r>
        <w:rPr>
          <w:rStyle w:val="Marquedecommentaire"/>
        </w:rPr>
        <w:annotationRef/>
      </w:r>
      <w:r w:rsidRPr="00C93E78">
        <w:rPr>
          <w:sz w:val="20"/>
          <w:szCs w:val="20"/>
          <w:lang w:val="en-GB"/>
        </w:rPr>
        <w:t>In British colonies and American territories, the key moment was also the blowing up of part of the reef with TNT to create a harbour. Presumably this happens in French colonies, too. I’ve always thought it would make a fascinating comparative paper - happy to collaborate!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818B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EBE7F1" w16cex:dateUtc="2024-12-03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18BB2" w16cid:durableId="4BEBE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9923" w14:textId="77777777" w:rsidR="00614D99" w:rsidRDefault="00614D99" w:rsidP="00D2454E">
      <w:pPr>
        <w:spacing w:after="0" w:line="240" w:lineRule="auto"/>
      </w:pPr>
      <w:r>
        <w:separator/>
      </w:r>
    </w:p>
  </w:endnote>
  <w:endnote w:type="continuationSeparator" w:id="0">
    <w:p w14:paraId="4AF9283A" w14:textId="77777777" w:rsidR="00614D99" w:rsidRDefault="00614D99" w:rsidP="00D2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FD50" w14:textId="77777777" w:rsidR="00614D99" w:rsidRDefault="00614D99" w:rsidP="00D2454E">
      <w:pPr>
        <w:spacing w:after="0" w:line="240" w:lineRule="auto"/>
      </w:pPr>
      <w:r>
        <w:separator/>
      </w:r>
    </w:p>
  </w:footnote>
  <w:footnote w:type="continuationSeparator" w:id="0">
    <w:p w14:paraId="5667CD5C" w14:textId="77777777" w:rsidR="00614D99" w:rsidRDefault="00614D99" w:rsidP="00D2454E">
      <w:pPr>
        <w:spacing w:after="0" w:line="240" w:lineRule="auto"/>
      </w:pPr>
      <w:r>
        <w:continuationSeparator/>
      </w:r>
    </w:p>
  </w:footnote>
  <w:footnote w:id="1">
    <w:p w14:paraId="15C97D71" w14:textId="77777777" w:rsidR="002C42F3" w:rsidRPr="00F02FAA" w:rsidRDefault="002C42F3" w:rsidP="002C42F3">
      <w:pPr>
        <w:pStyle w:val="notesbdp"/>
        <w:spacing w:after="0"/>
        <w:rPr>
          <w:rFonts w:ascii="Garamond" w:hAnsi="Garamond"/>
        </w:rPr>
      </w:pPr>
      <w:r w:rsidRPr="00F02FAA">
        <w:rPr>
          <w:rStyle w:val="Appelnotedebasdep"/>
          <w:rFonts w:ascii="Garamond" w:hAnsi="Garamond"/>
        </w:rPr>
        <w:footnoteRef/>
      </w:r>
      <w:r w:rsidRPr="00F02FAA">
        <w:rPr>
          <w:rFonts w:ascii="Garamond" w:hAnsi="Garamond"/>
        </w:rPr>
        <w:t xml:space="preserve"> </w:t>
      </w:r>
      <w:proofErr w:type="spellStart"/>
      <w:r w:rsidR="00F02FAA">
        <w:rPr>
          <w:rFonts w:ascii="Garamond" w:hAnsi="Garamond"/>
        </w:rPr>
        <w:t>After</w:t>
      </w:r>
      <w:proofErr w:type="spellEnd"/>
      <w:r w:rsidRPr="00F02FAA">
        <w:rPr>
          <w:rFonts w:ascii="Garamond" w:hAnsi="Garamond"/>
        </w:rPr>
        <w:t xml:space="preserve"> George Steinmetz </w:t>
      </w:r>
      <w:r w:rsidR="00F02FAA">
        <w:rPr>
          <w:rFonts w:ascii="Garamond" w:hAnsi="Garamond"/>
        </w:rPr>
        <w:t>and</w:t>
      </w:r>
      <w:r w:rsidRPr="00F02FAA">
        <w:rPr>
          <w:rFonts w:ascii="Garamond" w:hAnsi="Garamond"/>
        </w:rPr>
        <w:t xml:space="preserve"> Jack Snyder, </w:t>
      </w:r>
      <w:r w:rsidR="00F02FAA">
        <w:rPr>
          <w:rFonts w:ascii="Garamond" w:hAnsi="Garamond"/>
        </w:rPr>
        <w:t>in</w:t>
      </w:r>
      <w:r w:rsidRPr="00F02FAA">
        <w:rPr>
          <w:rFonts w:ascii="Garamond" w:hAnsi="Garamond"/>
        </w:rPr>
        <w:t xml:space="preserve"> Frederick Cooper, « La modernisation du colonialisme et les limites de l’empire », </w:t>
      </w:r>
      <w:r w:rsidRPr="00F02FAA">
        <w:rPr>
          <w:rStyle w:val="Accentuation"/>
          <w:rFonts w:ascii="Garamond" w:hAnsi="Garamond" w:cs="Times New Roman"/>
        </w:rPr>
        <w:t>Labyrinthe</w:t>
      </w:r>
      <w:r w:rsidRPr="00F02FAA">
        <w:rPr>
          <w:rFonts w:ascii="Garamond" w:hAnsi="Garamond"/>
        </w:rPr>
        <w:t>, 35 | 2010, 69-86.</w:t>
      </w:r>
    </w:p>
  </w:footnote>
  <w:footnote w:id="2">
    <w:p w14:paraId="6DDE0694" w14:textId="77777777" w:rsidR="00A203A8" w:rsidRPr="00F02FAA" w:rsidRDefault="00A203A8" w:rsidP="00A203A8">
      <w:pPr>
        <w:pStyle w:val="notesbdp"/>
        <w:spacing w:after="0"/>
        <w:rPr>
          <w:rFonts w:ascii="Garamond" w:hAnsi="Garamond"/>
          <w:lang w:val="en-US"/>
        </w:rPr>
      </w:pPr>
      <w:r w:rsidRPr="00F02FAA">
        <w:rPr>
          <w:rStyle w:val="Appelnotedebasdep"/>
          <w:rFonts w:ascii="Garamond" w:hAnsi="Garamond"/>
        </w:rPr>
        <w:footnoteRef/>
      </w:r>
      <w:r w:rsidRPr="00F02FAA">
        <w:rPr>
          <w:rFonts w:ascii="Garamond" w:hAnsi="Garamond"/>
          <w:lang w:val="en-US"/>
        </w:rPr>
        <w:t xml:space="preserve"> Christopher Hill, Britain, West Africa and ‘The New Nuclear Imperialism’: </w:t>
      </w:r>
      <w:proofErr w:type="spellStart"/>
      <w:r w:rsidRPr="00F02FAA">
        <w:rPr>
          <w:rFonts w:ascii="Garamond" w:hAnsi="Garamond"/>
          <w:lang w:val="en-US"/>
        </w:rPr>
        <w:t>Decolonisation</w:t>
      </w:r>
      <w:proofErr w:type="spellEnd"/>
      <w:r w:rsidRPr="00F02FAA">
        <w:rPr>
          <w:rFonts w:ascii="Garamond" w:hAnsi="Garamond"/>
          <w:lang w:val="en-US"/>
        </w:rPr>
        <w:t xml:space="preserve"> and Development during French tests, Contemporary British History (2019) 33:1, 274-289. </w:t>
      </w:r>
      <w:r w:rsidR="00F02FAA">
        <w:rPr>
          <w:rFonts w:ascii="Garamond" w:hAnsi="Garamond"/>
          <w:lang w:val="en-US"/>
        </w:rPr>
        <w:t xml:space="preserve">See also </w:t>
      </w:r>
      <w:r w:rsidRPr="00F02FAA">
        <w:rPr>
          <w:rFonts w:ascii="Garamond" w:hAnsi="Garamond"/>
          <w:lang w:val="en-US"/>
        </w:rPr>
        <w:t>G. Hecht, “According to those narratives, splitting the ato</w:t>
      </w:r>
      <w:r w:rsidR="00F02FAA">
        <w:rPr>
          <w:rFonts w:ascii="Garamond" w:hAnsi="Garamond"/>
          <w:lang w:val="en-US"/>
        </w:rPr>
        <w:t xml:space="preserve">m promulgated a new world order that replaced </w:t>
      </w:r>
      <w:r w:rsidRPr="00F02FAA">
        <w:rPr>
          <w:rFonts w:ascii="Garamond" w:hAnsi="Garamond"/>
          <w:lang w:val="en-US"/>
        </w:rPr>
        <w:t>imperial</w:t>
      </w:r>
      <w:r w:rsidR="00F02FAA">
        <w:rPr>
          <w:rFonts w:ascii="Garamond" w:hAnsi="Garamond"/>
          <w:lang w:val="en-US"/>
        </w:rPr>
        <w:t xml:space="preserve">ism with “the </w:t>
      </w:r>
      <w:proofErr w:type="gramStart"/>
      <w:r w:rsidR="00F02FAA">
        <w:rPr>
          <w:rFonts w:ascii="Garamond" w:hAnsi="Garamond"/>
          <w:lang w:val="en-US"/>
        </w:rPr>
        <w:t>bomb ”</w:t>
      </w:r>
      <w:proofErr w:type="gramEnd"/>
      <w:r w:rsidR="00F02FAA">
        <w:rPr>
          <w:rFonts w:ascii="Garamond" w:hAnsi="Garamond"/>
          <w:lang w:val="en-US"/>
        </w:rPr>
        <w:t xml:space="preserve">   But it was clear that colonialism remained central to the </w:t>
      </w:r>
      <w:r w:rsidRPr="00F02FAA">
        <w:rPr>
          <w:rFonts w:ascii="Garamond" w:hAnsi="Garamond"/>
          <w:lang w:val="en-US"/>
        </w:rPr>
        <w:t xml:space="preserve">nuclear order ’ s  technological  and geopolitical success. Even a short list of atomic test sites makes the point: Bikini Atoll, Semipalatinsk, Australian Aboriginal lands, the Sahara, French Polynesia » </w:t>
      </w:r>
      <w:r w:rsidRPr="00F02FAA">
        <w:rPr>
          <w:rFonts w:ascii="Garamond" w:hAnsi="Garamond"/>
          <w:i/>
          <w:iCs/>
          <w:lang w:val="en-US"/>
        </w:rPr>
        <w:t xml:space="preserve">Being Nuclear: Africans and the Global Uranium Trade </w:t>
      </w:r>
      <w:r w:rsidRPr="00F02FAA">
        <w:rPr>
          <w:rFonts w:ascii="Garamond" w:hAnsi="Garamond"/>
          <w:lang w:val="en-US"/>
        </w:rPr>
        <w:t>p. IX.</w:t>
      </w:r>
    </w:p>
  </w:footnote>
  <w:footnote w:id="3">
    <w:p w14:paraId="79AF543F" w14:textId="77777777" w:rsidR="00A203A8" w:rsidRPr="00F02FAA" w:rsidRDefault="00A203A8" w:rsidP="00A203A8">
      <w:pPr>
        <w:pStyle w:val="notesbdp"/>
        <w:spacing w:after="0"/>
        <w:rPr>
          <w:rFonts w:ascii="Garamond" w:hAnsi="Garamond"/>
          <w:lang w:val="en-GB"/>
        </w:rPr>
      </w:pPr>
      <w:r w:rsidRPr="00F02FAA">
        <w:rPr>
          <w:rFonts w:ascii="Garamond" w:hAnsi="Garamond"/>
          <w:vertAlign w:val="superscript"/>
        </w:rPr>
        <w:footnoteRef/>
      </w:r>
      <w:r w:rsidRPr="00F02FAA">
        <w:rPr>
          <w:rFonts w:ascii="Garamond" w:hAnsi="Garamond"/>
          <w:lang w:val="en-GB"/>
        </w:rPr>
        <w:t xml:space="preserve"> Service </w:t>
      </w:r>
      <w:proofErr w:type="spellStart"/>
      <w:r w:rsidRPr="00F02FAA">
        <w:rPr>
          <w:rFonts w:ascii="Garamond" w:hAnsi="Garamond"/>
          <w:lang w:val="en-GB"/>
        </w:rPr>
        <w:t>Historique</w:t>
      </w:r>
      <w:proofErr w:type="spellEnd"/>
      <w:r w:rsidRPr="00F02FAA">
        <w:rPr>
          <w:rFonts w:ascii="Garamond" w:hAnsi="Garamond"/>
          <w:lang w:val="en-GB"/>
        </w:rPr>
        <w:t xml:space="preserve"> de la Défense (SHD), </w:t>
      </w:r>
      <w:proofErr w:type="spellStart"/>
      <w:r w:rsidRPr="00F02FAA">
        <w:rPr>
          <w:rFonts w:ascii="Garamond" w:hAnsi="Garamond"/>
          <w:lang w:val="en-GB"/>
        </w:rPr>
        <w:t>Camussot</w:t>
      </w:r>
      <w:proofErr w:type="spellEnd"/>
      <w:r w:rsidRPr="00F02FAA">
        <w:rPr>
          <w:rFonts w:ascii="Garamond" w:hAnsi="Garamond"/>
          <w:lang w:val="en-GB"/>
        </w:rPr>
        <w:t xml:space="preserve"> 267 GG², </w:t>
      </w:r>
      <w:r w:rsidR="00F02FAA" w:rsidRPr="00F02FAA">
        <w:rPr>
          <w:rFonts w:ascii="Garamond" w:hAnsi="Garamond"/>
          <w:lang w:val="en-GB"/>
        </w:rPr>
        <w:t xml:space="preserve">report from 14th February </w:t>
      </w:r>
      <w:r w:rsidRPr="00F02FAA">
        <w:rPr>
          <w:rFonts w:ascii="Garamond" w:hAnsi="Garamond"/>
          <w:lang w:val="en-GB"/>
        </w:rPr>
        <w:t>1964</w:t>
      </w:r>
      <w:r w:rsidR="00F02FAA" w:rsidRPr="00F02FAA">
        <w:rPr>
          <w:rFonts w:ascii="Garamond" w:hAnsi="Garamond"/>
          <w:lang w:val="en-GB"/>
        </w:rPr>
        <w:t>.</w:t>
      </w:r>
      <w:r w:rsidRPr="00F02FAA">
        <w:rPr>
          <w:rFonts w:ascii="Garamond" w:hAnsi="Garamond"/>
          <w:lang w:val="en-GB"/>
        </w:rPr>
        <w:t xml:space="preserve">, p. 1 </w:t>
      </w:r>
      <w:r w:rsidR="00F02FAA" w:rsidRPr="00F02FAA">
        <w:rPr>
          <w:rFonts w:ascii="Garamond" w:hAnsi="Garamond"/>
          <w:lang w:val="en-GB"/>
        </w:rPr>
        <w:t>and</w:t>
      </w:r>
      <w:r w:rsidRPr="00F02FAA">
        <w:rPr>
          <w:rFonts w:ascii="Garamond" w:hAnsi="Garamond"/>
          <w:lang w:val="en-GB"/>
        </w:rPr>
        <w:t xml:space="preserve"> 4.</w:t>
      </w:r>
    </w:p>
  </w:footnote>
  <w:footnote w:id="4">
    <w:p w14:paraId="563FF816" w14:textId="77777777" w:rsidR="00A203A8" w:rsidRPr="00F02FAA" w:rsidRDefault="00A203A8" w:rsidP="00A203A8">
      <w:pPr>
        <w:pStyle w:val="notesbdp"/>
        <w:spacing w:after="0"/>
        <w:rPr>
          <w:rFonts w:ascii="Garamond" w:hAnsi="Garamond"/>
        </w:rPr>
      </w:pPr>
      <w:r w:rsidRPr="00F02FAA">
        <w:rPr>
          <w:rStyle w:val="Appelnotedebasdep"/>
          <w:rFonts w:ascii="Garamond" w:hAnsi="Garamond"/>
        </w:rPr>
        <w:footnoteRef/>
      </w:r>
      <w:r w:rsidRPr="00F02FAA">
        <w:rPr>
          <w:rFonts w:ascii="Garamond" w:hAnsi="Garamond"/>
        </w:rPr>
        <w:t xml:space="preserve"> Pascal Martin, </w:t>
      </w:r>
      <w:r w:rsidRPr="00F02FAA">
        <w:rPr>
          <w:rFonts w:ascii="Garamond" w:hAnsi="Garamond"/>
          <w:i/>
          <w:iCs/>
        </w:rPr>
        <w:t>Le seigneur des atolls</w:t>
      </w:r>
      <w:r w:rsidRPr="00F02FAA">
        <w:rPr>
          <w:rFonts w:ascii="Garamond" w:hAnsi="Garamond"/>
        </w:rPr>
        <w:t xml:space="preserve">, Presses de la Cité, 2011. </w:t>
      </w:r>
    </w:p>
  </w:footnote>
  <w:footnote w:id="5">
    <w:p w14:paraId="74649C96" w14:textId="77777777" w:rsidR="00770629" w:rsidRPr="00F02FAA" w:rsidRDefault="00770629" w:rsidP="00770629">
      <w:pPr>
        <w:pStyle w:val="notesbdp"/>
        <w:spacing w:after="0"/>
        <w:rPr>
          <w:rFonts w:ascii="Garamond" w:hAnsi="Garamond"/>
        </w:rPr>
      </w:pPr>
      <w:r w:rsidRPr="00F02FAA">
        <w:rPr>
          <w:rStyle w:val="Appelnotedebasdep"/>
          <w:rFonts w:ascii="Garamond" w:hAnsi="Garamond"/>
        </w:rPr>
        <w:footnoteRef/>
      </w:r>
      <w:r w:rsidRPr="00F02FAA">
        <w:rPr>
          <w:rFonts w:ascii="Garamond" w:hAnsi="Garamond"/>
        </w:rPr>
        <w:t xml:space="preserve"> </w:t>
      </w:r>
      <w:proofErr w:type="spellStart"/>
      <w:r w:rsidRPr="00F02FAA">
        <w:rPr>
          <w:rFonts w:ascii="Garamond" w:hAnsi="Garamond"/>
        </w:rPr>
        <w:t>Teva</w:t>
      </w:r>
      <w:proofErr w:type="spellEnd"/>
      <w:r w:rsidRPr="00F02FAA">
        <w:rPr>
          <w:rFonts w:ascii="Garamond" w:hAnsi="Garamond"/>
        </w:rPr>
        <w:t xml:space="preserve"> Meyer, «</w:t>
      </w:r>
      <w:r>
        <w:rPr>
          <w:rFonts w:ascii="Garamond" w:hAnsi="Garamond"/>
        </w:rPr>
        <w:t> </w:t>
      </w:r>
      <w:r w:rsidRPr="00F02FAA">
        <w:rPr>
          <w:rFonts w:ascii="Garamond" w:hAnsi="Garamond"/>
        </w:rPr>
        <w:t xml:space="preserve">Allez contaminer chez </w:t>
      </w:r>
      <w:proofErr w:type="gramStart"/>
      <w:r w:rsidRPr="00F02FAA">
        <w:rPr>
          <w:rFonts w:ascii="Garamond" w:hAnsi="Garamond"/>
        </w:rPr>
        <w:t>vous!</w:t>
      </w:r>
      <w:proofErr w:type="gramEnd"/>
      <w:r>
        <w:rPr>
          <w:rFonts w:ascii="Garamond" w:hAnsi="Garamond"/>
        </w:rPr>
        <w:t> </w:t>
      </w:r>
      <w:r w:rsidRPr="00F02FAA">
        <w:rPr>
          <w:rFonts w:ascii="Garamond" w:hAnsi="Garamond"/>
        </w:rPr>
        <w:t xml:space="preserve">» Stigmatisation territoriale et production de la nucléarité spatiale à </w:t>
      </w:r>
      <w:proofErr w:type="spellStart"/>
      <w:r w:rsidRPr="00F02FAA">
        <w:rPr>
          <w:rFonts w:ascii="Garamond" w:hAnsi="Garamond"/>
        </w:rPr>
        <w:t>Hao</w:t>
      </w:r>
      <w:proofErr w:type="spellEnd"/>
      <w:r>
        <w:rPr>
          <w:rFonts w:ascii="Garamond" w:hAnsi="Garamond"/>
        </w:rPr>
        <w:t xml:space="preserve"> (Polynésie française) », </w:t>
      </w:r>
      <w:r w:rsidRPr="00F02FAA">
        <w:rPr>
          <w:rFonts w:ascii="Garamond" w:hAnsi="Garamond"/>
          <w:i/>
          <w:iCs/>
        </w:rPr>
        <w:t>Annales de géographie</w:t>
      </w:r>
      <w:r w:rsidRPr="00F02FAA">
        <w:rPr>
          <w:rFonts w:ascii="Garamond" w:hAnsi="Garamond"/>
        </w:rPr>
        <w:t>, 2023. p. 91-117.</w:t>
      </w:r>
    </w:p>
  </w:footnote>
  <w:footnote w:id="6">
    <w:p w14:paraId="502A626E" w14:textId="77777777" w:rsidR="001B040F" w:rsidRPr="00F02FAA" w:rsidRDefault="001B040F" w:rsidP="001B040F">
      <w:pPr>
        <w:pStyle w:val="notesbdp"/>
        <w:spacing w:after="0"/>
        <w:rPr>
          <w:rFonts w:ascii="Garamond" w:hAnsi="Garamond"/>
          <w:lang w:val="en-US"/>
        </w:rPr>
      </w:pPr>
      <w:r w:rsidRPr="00F02FAA">
        <w:rPr>
          <w:rStyle w:val="Appelnotedebasdep"/>
          <w:rFonts w:ascii="Garamond" w:hAnsi="Garamond"/>
        </w:rPr>
        <w:footnoteRef/>
      </w:r>
      <w:r w:rsidRPr="00F02FAA">
        <w:rPr>
          <w:rFonts w:ascii="Garamond" w:hAnsi="Garamond"/>
          <w:lang w:val="en-US"/>
        </w:rPr>
        <w:t xml:space="preserve"> Gabrielle Hecht, </w:t>
      </w:r>
      <w:r w:rsidRPr="00F02FAA">
        <w:rPr>
          <w:rFonts w:ascii="Garamond" w:hAnsi="Garamond"/>
          <w:i/>
          <w:iCs/>
          <w:lang w:val="en-US"/>
        </w:rPr>
        <w:t>Being nuclear, Africans and the Global Uranium trade</w:t>
      </w:r>
      <w:r w:rsidRPr="00F02FAA">
        <w:rPr>
          <w:rFonts w:ascii="Garamond" w:hAnsi="Garamond"/>
          <w:lang w:val="en-US"/>
        </w:rPr>
        <w:t>, 2012, p. 11.</w:t>
      </w:r>
    </w:p>
  </w:footnote>
  <w:footnote w:id="7">
    <w:p w14:paraId="050EEF34" w14:textId="77777777" w:rsidR="001B040F" w:rsidRPr="00F02FAA" w:rsidRDefault="001B040F" w:rsidP="001B040F">
      <w:pPr>
        <w:pStyle w:val="notesbdp"/>
        <w:spacing w:after="0"/>
        <w:rPr>
          <w:rFonts w:ascii="Garamond" w:hAnsi="Garamond"/>
        </w:rPr>
      </w:pPr>
      <w:r w:rsidRPr="00F02FAA">
        <w:rPr>
          <w:rStyle w:val="Appelnotedebasdep"/>
          <w:rFonts w:ascii="Garamond" w:hAnsi="Garamond"/>
        </w:rPr>
        <w:footnoteRef/>
      </w:r>
      <w:r w:rsidRPr="00F02FAA">
        <w:rPr>
          <w:rFonts w:ascii="Garamond" w:hAnsi="Garamond"/>
        </w:rPr>
        <w:t xml:space="preserve"> </w:t>
      </w:r>
      <w:r w:rsidRPr="00F02FAA">
        <w:rPr>
          <w:rFonts w:ascii="Garamond" w:hAnsi="Garamond"/>
          <w:i/>
          <w:iCs/>
        </w:rPr>
        <w:t>Ibid.</w:t>
      </w:r>
      <w:r w:rsidRPr="00F02FAA">
        <w:rPr>
          <w:rFonts w:ascii="Garamond" w:hAnsi="Garamond"/>
        </w:rPr>
        <w:t>, p. 16.</w:t>
      </w:r>
    </w:p>
  </w:footnote>
  <w:footnote w:id="8">
    <w:p w14:paraId="28FB5E2E" w14:textId="77777777" w:rsidR="001B040F" w:rsidRPr="00F02FAA" w:rsidRDefault="001B040F" w:rsidP="001B040F">
      <w:pPr>
        <w:pStyle w:val="notesbdp"/>
        <w:spacing w:after="0"/>
        <w:rPr>
          <w:rFonts w:ascii="Garamond" w:hAnsi="Garamond"/>
        </w:rPr>
      </w:pPr>
      <w:r w:rsidRPr="00F02FAA">
        <w:rPr>
          <w:rStyle w:val="Appelnotedebasdep"/>
          <w:rFonts w:ascii="Garamond" w:hAnsi="Garamond"/>
        </w:rPr>
        <w:footnoteRef/>
      </w:r>
      <w:r w:rsidRPr="00F02FAA">
        <w:rPr>
          <w:rFonts w:ascii="Garamond" w:hAnsi="Garamond"/>
        </w:rPr>
        <w:t xml:space="preserve"> Jean-François </w:t>
      </w:r>
      <w:proofErr w:type="spellStart"/>
      <w:r w:rsidRPr="00F02FAA">
        <w:rPr>
          <w:rFonts w:ascii="Garamond" w:hAnsi="Garamond"/>
        </w:rPr>
        <w:t>Staszak</w:t>
      </w:r>
      <w:proofErr w:type="spellEnd"/>
      <w:r w:rsidRPr="00F02FAA">
        <w:rPr>
          <w:rFonts w:ascii="Garamond" w:hAnsi="Garamond"/>
        </w:rPr>
        <w:t xml:space="preserve">, </w:t>
      </w:r>
      <w:r w:rsidRPr="00F02FAA">
        <w:rPr>
          <w:rFonts w:ascii="Garamond" w:hAnsi="Garamond"/>
          <w:i/>
          <w:iCs/>
        </w:rPr>
        <w:t xml:space="preserve">Géographies de Gauguin, </w:t>
      </w:r>
      <w:r w:rsidRPr="00F02FAA">
        <w:rPr>
          <w:rFonts w:ascii="Garamond" w:hAnsi="Garamond"/>
        </w:rPr>
        <w:t xml:space="preserve">2003. </w:t>
      </w:r>
    </w:p>
  </w:footnote>
  <w:footnote w:id="9">
    <w:p w14:paraId="4E58DEB4" w14:textId="77777777" w:rsidR="001B040F" w:rsidRPr="00F02FAA" w:rsidRDefault="001B040F" w:rsidP="001B040F">
      <w:pPr>
        <w:pStyle w:val="notesbdp"/>
        <w:spacing w:after="0"/>
        <w:rPr>
          <w:rFonts w:ascii="Garamond" w:hAnsi="Garamond"/>
        </w:rPr>
      </w:pPr>
      <w:r w:rsidRPr="00F02FAA">
        <w:rPr>
          <w:rStyle w:val="Appelnotedebasdep"/>
          <w:rFonts w:ascii="Garamond" w:hAnsi="Garamond"/>
        </w:rPr>
        <w:footnoteRef/>
      </w:r>
      <w:r w:rsidRPr="00F02FAA">
        <w:rPr>
          <w:rFonts w:ascii="Garamond" w:hAnsi="Garamond"/>
          <w:lang w:val="en-US"/>
        </w:rPr>
        <w:t xml:space="preserve"> Nicholas Hoare, </w:t>
      </w:r>
      <w:r w:rsidRPr="00F02FAA">
        <w:rPr>
          <w:rFonts w:ascii="Garamond" w:hAnsi="Garamond"/>
          <w:i/>
          <w:iCs/>
          <w:lang w:val="en-US"/>
        </w:rPr>
        <w:t>Re-Mining Makatea: People, Politics and Phosphate Rock</w:t>
      </w:r>
      <w:r w:rsidRPr="00F02FAA">
        <w:rPr>
          <w:rFonts w:ascii="Garamond" w:hAnsi="Garamond"/>
          <w:lang w:val="en-US"/>
        </w:rPr>
        <w:t xml:space="preserve">. </w:t>
      </w:r>
      <w:r w:rsidR="00F02FAA">
        <w:rPr>
          <w:rFonts w:ascii="Garamond" w:hAnsi="Garamond"/>
        </w:rPr>
        <w:t xml:space="preserve">PhD </w:t>
      </w:r>
      <w:proofErr w:type="spellStart"/>
      <w:r w:rsidR="00F02FAA">
        <w:rPr>
          <w:rFonts w:ascii="Garamond" w:hAnsi="Garamond"/>
        </w:rPr>
        <w:t>thesis</w:t>
      </w:r>
      <w:proofErr w:type="spellEnd"/>
      <w:r w:rsidR="00F02FAA">
        <w:rPr>
          <w:rFonts w:ascii="Garamond" w:hAnsi="Garamond"/>
        </w:rPr>
        <w:t xml:space="preserve">, </w:t>
      </w:r>
      <w:r w:rsidRPr="00F02FAA">
        <w:rPr>
          <w:rFonts w:ascii="Garamond" w:hAnsi="Garamond"/>
        </w:rPr>
        <w:t xml:space="preserve">The </w:t>
      </w:r>
      <w:proofErr w:type="spellStart"/>
      <w:r w:rsidRPr="00F02FAA">
        <w:rPr>
          <w:rFonts w:ascii="Garamond" w:hAnsi="Garamond"/>
        </w:rPr>
        <w:t>Australian</w:t>
      </w:r>
      <w:proofErr w:type="spellEnd"/>
      <w:r w:rsidRPr="00F02FAA">
        <w:rPr>
          <w:rFonts w:ascii="Garamond" w:hAnsi="Garamond"/>
        </w:rPr>
        <w:t xml:space="preserve"> National </w:t>
      </w:r>
      <w:proofErr w:type="spellStart"/>
      <w:r w:rsidRPr="00F02FAA">
        <w:rPr>
          <w:rFonts w:ascii="Garamond" w:hAnsi="Garamond"/>
        </w:rPr>
        <w:t>University</w:t>
      </w:r>
      <w:proofErr w:type="spellEnd"/>
      <w:r w:rsidRPr="00F02FAA">
        <w:rPr>
          <w:rFonts w:ascii="Garamond" w:hAnsi="Garamond"/>
        </w:rPr>
        <w:t>, 2020, 330 p.</w:t>
      </w:r>
    </w:p>
  </w:footnote>
  <w:footnote w:id="10">
    <w:p w14:paraId="426490FB" w14:textId="77777777" w:rsidR="00F02FAA" w:rsidRPr="00F02FAA" w:rsidRDefault="00F02FAA" w:rsidP="00F02FAA">
      <w:pPr>
        <w:pStyle w:val="notesbdp"/>
        <w:spacing w:after="0"/>
        <w:rPr>
          <w:rFonts w:ascii="Garamond" w:hAnsi="Garamond"/>
        </w:rPr>
      </w:pPr>
      <w:r w:rsidRPr="00F02FAA">
        <w:rPr>
          <w:rStyle w:val="Appelnotedebasdep"/>
          <w:rFonts w:ascii="Garamond" w:hAnsi="Garamond"/>
        </w:rPr>
        <w:footnoteRef/>
      </w:r>
      <w:r w:rsidRPr="00F02FAA">
        <w:rPr>
          <w:rFonts w:ascii="Garamond" w:hAnsi="Garamond"/>
        </w:rPr>
        <w:t xml:space="preserve"> Geneviève Cortes </w:t>
      </w:r>
      <w:r>
        <w:rPr>
          <w:rFonts w:ascii="Garamond" w:hAnsi="Garamond"/>
        </w:rPr>
        <w:t>and</w:t>
      </w:r>
      <w:r w:rsidRPr="00F02FAA">
        <w:rPr>
          <w:rFonts w:ascii="Garamond" w:hAnsi="Garamond"/>
        </w:rPr>
        <w:t xml:space="preserve"> Laurent Faret, « </w:t>
      </w:r>
      <w:proofErr w:type="gramStart"/>
      <w:r w:rsidRPr="00F02FAA">
        <w:rPr>
          <w:rFonts w:ascii="Garamond" w:hAnsi="Garamond"/>
        </w:rPr>
        <w:t>Introduction:</w:t>
      </w:r>
      <w:proofErr w:type="gramEnd"/>
      <w:r w:rsidRPr="00F02FAA">
        <w:rPr>
          <w:rFonts w:ascii="Garamond" w:hAnsi="Garamond"/>
        </w:rPr>
        <w:t xml:space="preserve"> La circulation migratoire dans «l'ordre des mobilités» », </w:t>
      </w:r>
      <w:r w:rsidRPr="00F02FAA">
        <w:rPr>
          <w:rFonts w:ascii="Garamond" w:hAnsi="Garamond"/>
          <w:i/>
          <w:iCs/>
        </w:rPr>
        <w:t>Les Circulations transnationales. Lire les turbulences migratoires contemporaines</w:t>
      </w:r>
      <w:r w:rsidRPr="00F02FAA">
        <w:rPr>
          <w:rFonts w:ascii="Garamond" w:hAnsi="Garamond"/>
        </w:rPr>
        <w:t>,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57E0"/>
    <w:multiLevelType w:val="multilevel"/>
    <w:tmpl w:val="F3BC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8594F"/>
    <w:multiLevelType w:val="multilevel"/>
    <w:tmpl w:val="D2ACB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8014958">
    <w:abstractNumId w:val="0"/>
  </w:num>
  <w:num w:numId="2" w16cid:durableId="5626372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Hill">
    <w15:presenceInfo w15:providerId="AD" w15:userId="S::christopher.hill@southwales.ac.uk::18dfded7-f3e8-4a97-b144-eeb9b2a1d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CD"/>
    <w:rsid w:val="00016E88"/>
    <w:rsid w:val="000A169B"/>
    <w:rsid w:val="000B71CA"/>
    <w:rsid w:val="001B040F"/>
    <w:rsid w:val="00200DA6"/>
    <w:rsid w:val="002074AC"/>
    <w:rsid w:val="002C42F3"/>
    <w:rsid w:val="002E0BC5"/>
    <w:rsid w:val="003108A6"/>
    <w:rsid w:val="003766CD"/>
    <w:rsid w:val="00404DA8"/>
    <w:rsid w:val="00415365"/>
    <w:rsid w:val="004421E5"/>
    <w:rsid w:val="00555090"/>
    <w:rsid w:val="005A2C91"/>
    <w:rsid w:val="005D4F8B"/>
    <w:rsid w:val="005E212C"/>
    <w:rsid w:val="00614D99"/>
    <w:rsid w:val="00682213"/>
    <w:rsid w:val="006E57FA"/>
    <w:rsid w:val="00770629"/>
    <w:rsid w:val="007A11F0"/>
    <w:rsid w:val="007A4BA1"/>
    <w:rsid w:val="007F3F33"/>
    <w:rsid w:val="0082111B"/>
    <w:rsid w:val="008B3DF7"/>
    <w:rsid w:val="0090055D"/>
    <w:rsid w:val="009354F2"/>
    <w:rsid w:val="00A203A8"/>
    <w:rsid w:val="00A42394"/>
    <w:rsid w:val="00A63348"/>
    <w:rsid w:val="00A7672C"/>
    <w:rsid w:val="00A8484C"/>
    <w:rsid w:val="00AE4BDD"/>
    <w:rsid w:val="00B00B2F"/>
    <w:rsid w:val="00B15A03"/>
    <w:rsid w:val="00B24007"/>
    <w:rsid w:val="00BB221C"/>
    <w:rsid w:val="00BD6B3B"/>
    <w:rsid w:val="00C232FA"/>
    <w:rsid w:val="00C93E78"/>
    <w:rsid w:val="00CA2633"/>
    <w:rsid w:val="00CB0818"/>
    <w:rsid w:val="00CE4FF7"/>
    <w:rsid w:val="00D2454E"/>
    <w:rsid w:val="00D47938"/>
    <w:rsid w:val="00D65156"/>
    <w:rsid w:val="00D65B96"/>
    <w:rsid w:val="00DD230E"/>
    <w:rsid w:val="00DF1165"/>
    <w:rsid w:val="00E64178"/>
    <w:rsid w:val="00F02FAA"/>
    <w:rsid w:val="00FC472C"/>
    <w:rsid w:val="00FF7D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0207"/>
  <w15:chartTrackingRefBased/>
  <w15:docId w15:val="{BBB88FE1-71C1-468B-861B-5299908B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54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354F2"/>
    <w:rPr>
      <w:b/>
      <w:bCs/>
    </w:rPr>
  </w:style>
  <w:style w:type="paragraph" w:customStyle="1" w:styleId="notesbdp">
    <w:name w:val="notes bdp"/>
    <w:basedOn w:val="Notedebasdepage"/>
    <w:qFormat/>
    <w:rsid w:val="002C42F3"/>
    <w:pPr>
      <w:spacing w:after="160" w:line="259" w:lineRule="auto"/>
      <w:jc w:val="both"/>
    </w:pPr>
    <w:rPr>
      <w:rFonts w:ascii="Times New Roman" w:hAnsi="Times New Roman"/>
    </w:rPr>
  </w:style>
  <w:style w:type="character" w:styleId="Appelnotedebasdep">
    <w:name w:val="footnote reference"/>
    <w:basedOn w:val="Policepardfaut"/>
    <w:uiPriority w:val="99"/>
    <w:semiHidden/>
    <w:unhideWhenUsed/>
    <w:rsid w:val="002C42F3"/>
    <w:rPr>
      <w:vertAlign w:val="superscript"/>
    </w:rPr>
  </w:style>
  <w:style w:type="character" w:styleId="Accentuation">
    <w:name w:val="Emphasis"/>
    <w:basedOn w:val="Policepardfaut"/>
    <w:uiPriority w:val="20"/>
    <w:qFormat/>
    <w:rsid w:val="002C42F3"/>
    <w:rPr>
      <w:i/>
      <w:iCs/>
    </w:rPr>
  </w:style>
  <w:style w:type="paragraph" w:styleId="Notedebasdepage">
    <w:name w:val="footnote text"/>
    <w:basedOn w:val="Normal"/>
    <w:link w:val="NotedebasdepageCar"/>
    <w:uiPriority w:val="99"/>
    <w:semiHidden/>
    <w:unhideWhenUsed/>
    <w:rsid w:val="002C42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42F3"/>
    <w:rPr>
      <w:sz w:val="20"/>
      <w:szCs w:val="20"/>
    </w:rPr>
  </w:style>
  <w:style w:type="paragraph" w:styleId="En-tte">
    <w:name w:val="header"/>
    <w:basedOn w:val="Normal"/>
    <w:link w:val="En-tteCar"/>
    <w:uiPriority w:val="99"/>
    <w:unhideWhenUsed/>
    <w:rsid w:val="00B15A03"/>
    <w:pPr>
      <w:tabs>
        <w:tab w:val="center" w:pos="4680"/>
        <w:tab w:val="right" w:pos="9360"/>
      </w:tabs>
      <w:spacing w:after="0" w:line="240" w:lineRule="auto"/>
    </w:pPr>
  </w:style>
  <w:style w:type="character" w:customStyle="1" w:styleId="En-tteCar">
    <w:name w:val="En-tête Car"/>
    <w:basedOn w:val="Policepardfaut"/>
    <w:link w:val="En-tte"/>
    <w:uiPriority w:val="99"/>
    <w:rsid w:val="00B15A03"/>
  </w:style>
  <w:style w:type="paragraph" w:styleId="Rvision">
    <w:name w:val="Revision"/>
    <w:hidden/>
    <w:uiPriority w:val="99"/>
    <w:semiHidden/>
    <w:rsid w:val="006E57FA"/>
    <w:pPr>
      <w:spacing w:after="0" w:line="240" w:lineRule="auto"/>
    </w:pPr>
  </w:style>
  <w:style w:type="character" w:styleId="Marquedecommentaire">
    <w:name w:val="annotation reference"/>
    <w:basedOn w:val="Policepardfaut"/>
    <w:uiPriority w:val="99"/>
    <w:semiHidden/>
    <w:unhideWhenUsed/>
    <w:rsid w:val="006E57FA"/>
    <w:rPr>
      <w:sz w:val="16"/>
      <w:szCs w:val="16"/>
    </w:rPr>
  </w:style>
  <w:style w:type="paragraph" w:styleId="Commentaire">
    <w:name w:val="annotation text"/>
    <w:basedOn w:val="Normal"/>
    <w:link w:val="CommentaireCar"/>
    <w:uiPriority w:val="99"/>
    <w:semiHidden/>
    <w:unhideWhenUsed/>
    <w:rsid w:val="006E57FA"/>
    <w:pPr>
      <w:spacing w:line="240" w:lineRule="auto"/>
    </w:pPr>
    <w:rPr>
      <w:sz w:val="20"/>
      <w:szCs w:val="20"/>
    </w:rPr>
  </w:style>
  <w:style w:type="character" w:customStyle="1" w:styleId="CommentaireCar">
    <w:name w:val="Commentaire Car"/>
    <w:basedOn w:val="Policepardfaut"/>
    <w:link w:val="Commentaire"/>
    <w:uiPriority w:val="99"/>
    <w:semiHidden/>
    <w:rsid w:val="006E57FA"/>
    <w:rPr>
      <w:sz w:val="20"/>
      <w:szCs w:val="20"/>
    </w:rPr>
  </w:style>
  <w:style w:type="paragraph" w:styleId="Objetducommentaire">
    <w:name w:val="annotation subject"/>
    <w:basedOn w:val="Commentaire"/>
    <w:next w:val="Commentaire"/>
    <w:link w:val="ObjetducommentaireCar"/>
    <w:uiPriority w:val="99"/>
    <w:semiHidden/>
    <w:unhideWhenUsed/>
    <w:rsid w:val="006E57FA"/>
    <w:rPr>
      <w:b/>
      <w:bCs/>
    </w:rPr>
  </w:style>
  <w:style w:type="character" w:customStyle="1" w:styleId="ObjetducommentaireCar">
    <w:name w:val="Objet du commentaire Car"/>
    <w:basedOn w:val="CommentaireCar"/>
    <w:link w:val="Objetducommentaire"/>
    <w:uiPriority w:val="99"/>
    <w:semiHidden/>
    <w:rsid w:val="006E57FA"/>
    <w:rPr>
      <w:b/>
      <w:bCs/>
      <w:sz w:val="20"/>
      <w:szCs w:val="20"/>
    </w:rPr>
  </w:style>
  <w:style w:type="paragraph" w:styleId="Textedebulles">
    <w:name w:val="Balloon Text"/>
    <w:basedOn w:val="Normal"/>
    <w:link w:val="TextedebullesCar"/>
    <w:uiPriority w:val="99"/>
    <w:semiHidden/>
    <w:unhideWhenUsed/>
    <w:rsid w:val="00C93E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3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6703">
      <w:bodyDiv w:val="1"/>
      <w:marLeft w:val="0"/>
      <w:marRight w:val="0"/>
      <w:marTop w:val="0"/>
      <w:marBottom w:val="0"/>
      <w:divBdr>
        <w:top w:val="none" w:sz="0" w:space="0" w:color="auto"/>
        <w:left w:val="none" w:sz="0" w:space="0" w:color="auto"/>
        <w:bottom w:val="none" w:sz="0" w:space="0" w:color="auto"/>
        <w:right w:val="none" w:sz="0" w:space="0" w:color="auto"/>
      </w:divBdr>
      <w:divsChild>
        <w:div w:id="1754160736">
          <w:marLeft w:val="0"/>
          <w:marRight w:val="0"/>
          <w:marTop w:val="0"/>
          <w:marBottom w:val="0"/>
          <w:divBdr>
            <w:top w:val="none" w:sz="0" w:space="0" w:color="auto"/>
            <w:left w:val="none" w:sz="0" w:space="0" w:color="auto"/>
            <w:bottom w:val="none" w:sz="0" w:space="0" w:color="auto"/>
            <w:right w:val="none" w:sz="0" w:space="0" w:color="auto"/>
          </w:divBdr>
          <w:divsChild>
            <w:div w:id="717172188">
              <w:marLeft w:val="0"/>
              <w:marRight w:val="0"/>
              <w:marTop w:val="0"/>
              <w:marBottom w:val="0"/>
              <w:divBdr>
                <w:top w:val="none" w:sz="0" w:space="0" w:color="auto"/>
                <w:left w:val="none" w:sz="0" w:space="0" w:color="auto"/>
                <w:bottom w:val="none" w:sz="0" w:space="0" w:color="auto"/>
                <w:right w:val="none" w:sz="0" w:space="0" w:color="auto"/>
              </w:divBdr>
              <w:divsChild>
                <w:div w:id="231085746">
                  <w:marLeft w:val="0"/>
                  <w:marRight w:val="0"/>
                  <w:marTop w:val="0"/>
                  <w:marBottom w:val="0"/>
                  <w:divBdr>
                    <w:top w:val="none" w:sz="0" w:space="0" w:color="auto"/>
                    <w:left w:val="none" w:sz="0" w:space="0" w:color="auto"/>
                    <w:bottom w:val="none" w:sz="0" w:space="0" w:color="auto"/>
                    <w:right w:val="none" w:sz="0" w:space="0" w:color="auto"/>
                  </w:divBdr>
                  <w:divsChild>
                    <w:div w:id="1955672932">
                      <w:marLeft w:val="0"/>
                      <w:marRight w:val="0"/>
                      <w:marTop w:val="0"/>
                      <w:marBottom w:val="0"/>
                      <w:divBdr>
                        <w:top w:val="none" w:sz="0" w:space="0" w:color="auto"/>
                        <w:left w:val="none" w:sz="0" w:space="0" w:color="auto"/>
                        <w:bottom w:val="none" w:sz="0" w:space="0" w:color="auto"/>
                        <w:right w:val="none" w:sz="0" w:space="0" w:color="auto"/>
                      </w:divBdr>
                      <w:divsChild>
                        <w:div w:id="1140153300">
                          <w:marLeft w:val="0"/>
                          <w:marRight w:val="0"/>
                          <w:marTop w:val="0"/>
                          <w:marBottom w:val="0"/>
                          <w:divBdr>
                            <w:top w:val="none" w:sz="0" w:space="0" w:color="auto"/>
                            <w:left w:val="none" w:sz="0" w:space="0" w:color="auto"/>
                            <w:bottom w:val="none" w:sz="0" w:space="0" w:color="auto"/>
                            <w:right w:val="none" w:sz="0" w:space="0" w:color="auto"/>
                          </w:divBdr>
                          <w:divsChild>
                            <w:div w:id="21281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30403">
      <w:bodyDiv w:val="1"/>
      <w:marLeft w:val="0"/>
      <w:marRight w:val="0"/>
      <w:marTop w:val="0"/>
      <w:marBottom w:val="0"/>
      <w:divBdr>
        <w:top w:val="none" w:sz="0" w:space="0" w:color="auto"/>
        <w:left w:val="none" w:sz="0" w:space="0" w:color="auto"/>
        <w:bottom w:val="none" w:sz="0" w:space="0" w:color="auto"/>
        <w:right w:val="none" w:sz="0" w:space="0" w:color="auto"/>
      </w:divBdr>
    </w:div>
    <w:div w:id="1599633927">
      <w:bodyDiv w:val="1"/>
      <w:marLeft w:val="0"/>
      <w:marRight w:val="0"/>
      <w:marTop w:val="0"/>
      <w:marBottom w:val="0"/>
      <w:divBdr>
        <w:top w:val="none" w:sz="0" w:space="0" w:color="auto"/>
        <w:left w:val="none" w:sz="0" w:space="0" w:color="auto"/>
        <w:bottom w:val="none" w:sz="0" w:space="0" w:color="auto"/>
        <w:right w:val="none" w:sz="0" w:space="0" w:color="auto"/>
      </w:divBdr>
      <w:divsChild>
        <w:div w:id="150948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C00CB-97E5-4AA6-A37B-0CB7696D06AD}">
  <ds:schemaRefs>
    <ds:schemaRef ds:uri="http://schemas.openxmlformats.org/officeDocument/2006/bibliography"/>
  </ds:schemaRefs>
</ds:datastoreItem>
</file>

<file path=docMetadata/LabelInfo.xml><?xml version="1.0" encoding="utf-8"?>
<clbl:labelList xmlns:clbl="http://schemas.microsoft.com/office/2020/mipLabelMetadata">
  <clbl:label id="{553f0066-c24e-444c-9c2a-7427c31ebeab}" enabled="1" method="Standard" siteId="{e5aafe7c-971b-4ab7-b039-141ad36acec0}"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2698</Words>
  <Characters>13791</Characters>
  <Application>Microsoft Office Word</Application>
  <DocSecurity>0</DocSecurity>
  <Lines>212</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Haute-Alsace</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benjamin.furst</dc:creator>
  <cp:keywords/>
  <dc:description/>
  <cp:lastModifiedBy>Renaud M</cp:lastModifiedBy>
  <cp:revision>2</cp:revision>
  <dcterms:created xsi:type="dcterms:W3CDTF">2024-12-11T10:02:00Z</dcterms:created>
  <dcterms:modified xsi:type="dcterms:W3CDTF">2024-12-11T10:02:00Z</dcterms:modified>
</cp:coreProperties>
</file>